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宋体" w:hAnsi="宋体"/>
          <w:b/>
          <w:sz w:val="28"/>
          <w:szCs w:val="30"/>
        </w:rPr>
      </w:pPr>
    </w:p>
    <w:p>
      <w:pPr>
        <w:spacing w:line="360" w:lineRule="auto"/>
        <w:ind w:firstLine="560"/>
        <w:rPr>
          <w:rFonts w:ascii="宋体" w:hAnsi="宋体" w:cs="宋体"/>
          <w:sz w:val="28"/>
          <w:szCs w:val="28"/>
        </w:rPr>
      </w:pPr>
    </w:p>
    <w:p>
      <w:pPr>
        <w:spacing w:line="360" w:lineRule="auto"/>
        <w:ind w:firstLine="560"/>
        <w:rPr>
          <w:rFonts w:ascii="宋体" w:hAnsi="宋体" w:cs="宋体"/>
          <w:sz w:val="28"/>
          <w:szCs w:val="28"/>
        </w:rPr>
      </w:pPr>
    </w:p>
    <w:p>
      <w:pPr>
        <w:spacing w:line="360" w:lineRule="auto"/>
        <w:ind w:firstLine="560"/>
        <w:rPr>
          <w:rFonts w:ascii="宋体" w:hAnsi="宋体" w:cs="宋体"/>
          <w:b/>
          <w:szCs w:val="21"/>
          <w:u w:val="single"/>
        </w:rPr>
      </w:pPr>
    </w:p>
    <w:p>
      <w:pPr>
        <w:adjustRightInd w:val="0"/>
        <w:snapToGrid w:val="0"/>
        <w:spacing w:beforeLines="50" w:afterLines="50" w:line="440" w:lineRule="exact"/>
        <w:jc w:val="center"/>
        <w:rPr>
          <w:rFonts w:ascii="宋体" w:hAnsi="宋体" w:cs="宋体"/>
          <w:b/>
          <w:sz w:val="36"/>
          <w:szCs w:val="36"/>
        </w:rPr>
      </w:pPr>
      <w:r>
        <w:rPr>
          <w:rFonts w:hint="eastAsia" w:ascii="宋体" w:hAnsi="宋体" w:cs="宋体"/>
          <w:b/>
          <w:sz w:val="36"/>
          <w:szCs w:val="36"/>
        </w:rPr>
        <w:t>智慧旅游后端硬件系统项目</w:t>
      </w:r>
    </w:p>
    <w:p>
      <w:pPr>
        <w:jc w:val="center"/>
        <w:rPr>
          <w:rFonts w:ascii="宋体" w:hAnsi="宋体" w:cs="宋体"/>
          <w:b/>
          <w:szCs w:val="21"/>
          <w:u w:val="single"/>
        </w:rPr>
      </w:pPr>
    </w:p>
    <w:p>
      <w:pPr>
        <w:spacing w:after="120" w:line="360" w:lineRule="atLeast"/>
        <w:jc w:val="center"/>
        <w:rPr>
          <w:rFonts w:ascii="宋体" w:hAnsi="宋体" w:cs="宋体"/>
          <w:b/>
          <w:sz w:val="36"/>
          <w:szCs w:val="36"/>
        </w:rPr>
      </w:pPr>
      <w:r>
        <w:rPr>
          <w:rFonts w:hint="eastAsia" w:ascii="宋体" w:hAnsi="宋体" w:cs="宋体"/>
          <w:b/>
          <w:sz w:val="36"/>
          <w:szCs w:val="36"/>
        </w:rPr>
        <w:t>竞争性磋商文件</w:t>
      </w:r>
    </w:p>
    <w:p>
      <w:pPr>
        <w:spacing w:after="120" w:line="360" w:lineRule="atLeast"/>
        <w:jc w:val="center"/>
        <w:rPr>
          <w:rFonts w:ascii="宋体" w:hAnsi="宋体" w:cs="宋体"/>
          <w:b/>
          <w:sz w:val="32"/>
          <w:szCs w:val="32"/>
        </w:rPr>
      </w:pPr>
    </w:p>
    <w:p>
      <w:pPr>
        <w:spacing w:after="120" w:line="360" w:lineRule="atLeast"/>
        <w:jc w:val="center"/>
        <w:rPr>
          <w:rFonts w:ascii="宋体" w:hAnsi="宋体" w:cs="宋体"/>
          <w:b/>
          <w:sz w:val="32"/>
          <w:szCs w:val="32"/>
        </w:rPr>
      </w:pPr>
    </w:p>
    <w:p>
      <w:pPr>
        <w:spacing w:after="120" w:line="360" w:lineRule="atLeast"/>
        <w:jc w:val="center"/>
        <w:rPr>
          <w:rFonts w:ascii="宋体" w:hAnsi="宋体" w:cs="宋体"/>
          <w:b/>
          <w:sz w:val="32"/>
          <w:szCs w:val="32"/>
        </w:rPr>
      </w:pPr>
    </w:p>
    <w:p>
      <w:pPr>
        <w:spacing w:after="120" w:line="360" w:lineRule="atLeast"/>
        <w:jc w:val="center"/>
        <w:rPr>
          <w:rFonts w:ascii="宋体" w:hAnsi="宋体" w:cs="宋体"/>
          <w:b/>
          <w:sz w:val="32"/>
          <w:szCs w:val="32"/>
        </w:rPr>
      </w:pPr>
    </w:p>
    <w:p>
      <w:pPr>
        <w:spacing w:after="120" w:line="360" w:lineRule="atLeast"/>
        <w:jc w:val="center"/>
        <w:rPr>
          <w:rFonts w:ascii="宋体" w:hAnsi="宋体" w:cs="宋体"/>
          <w:b/>
          <w:sz w:val="32"/>
          <w:szCs w:val="32"/>
        </w:rPr>
      </w:pPr>
    </w:p>
    <w:p>
      <w:pPr>
        <w:spacing w:line="600" w:lineRule="exact"/>
        <w:jc w:val="center"/>
        <w:rPr>
          <w:rFonts w:ascii="宋体" w:hAnsi="宋体"/>
          <w:b/>
          <w:sz w:val="28"/>
          <w:szCs w:val="28"/>
        </w:rPr>
      </w:pPr>
      <w:r>
        <w:rPr>
          <w:rFonts w:hint="eastAsia" w:ascii="宋体" w:hAnsi="宋体"/>
          <w:b/>
          <w:sz w:val="28"/>
          <w:szCs w:val="28"/>
        </w:rPr>
        <w:t>招标人:</w:t>
      </w:r>
      <w:r>
        <w:rPr>
          <w:rFonts w:hint="eastAsia" w:ascii="宋体" w:hAnsi="宋体"/>
          <w:b/>
          <w:sz w:val="28"/>
          <w:szCs w:val="28"/>
          <w:u w:val="single"/>
        </w:rPr>
        <w:t>【南通市大数据发展集团有限公司】</w:t>
      </w:r>
    </w:p>
    <w:p>
      <w:pPr>
        <w:spacing w:line="600" w:lineRule="exact"/>
        <w:jc w:val="center"/>
        <w:rPr>
          <w:rFonts w:ascii="宋体" w:hAnsi="宋体"/>
          <w:b/>
          <w:sz w:val="24"/>
        </w:rPr>
      </w:pPr>
    </w:p>
    <w:p>
      <w:pPr>
        <w:spacing w:line="600" w:lineRule="exact"/>
        <w:ind w:firstLine="3080" w:firstLineChars="1100"/>
        <w:jc w:val="left"/>
        <w:rPr>
          <w:rFonts w:ascii="宋体" w:hAnsi="宋体"/>
          <w:b/>
          <w:sz w:val="28"/>
          <w:szCs w:val="28"/>
        </w:rPr>
      </w:pPr>
      <w:r>
        <w:rPr>
          <w:rFonts w:hint="eastAsia" w:ascii="宋体" w:hAnsi="宋体"/>
          <w:b/>
          <w:sz w:val="28"/>
          <w:szCs w:val="28"/>
          <w:u w:val="single"/>
        </w:rPr>
        <w:t>2019</w:t>
      </w:r>
      <w:r>
        <w:rPr>
          <w:rFonts w:ascii="宋体" w:hAnsi="宋体"/>
          <w:b/>
          <w:sz w:val="28"/>
          <w:szCs w:val="28"/>
        </w:rPr>
        <w:t>年</w:t>
      </w:r>
      <w:r>
        <w:rPr>
          <w:rFonts w:hint="eastAsia" w:ascii="宋体" w:hAnsi="宋体"/>
          <w:b/>
          <w:sz w:val="28"/>
          <w:szCs w:val="28"/>
          <w:u w:val="single"/>
        </w:rPr>
        <w:t xml:space="preserve"> </w:t>
      </w:r>
      <w:r>
        <w:rPr>
          <w:rFonts w:hint="eastAsia" w:ascii="宋体" w:hAnsi="宋体"/>
          <w:b/>
          <w:sz w:val="28"/>
          <w:szCs w:val="28"/>
          <w:u w:val="single"/>
          <w:lang w:val="en-US" w:eastAsia="zh-CN"/>
        </w:rPr>
        <w:t>6</w:t>
      </w:r>
      <w:r>
        <w:rPr>
          <w:rFonts w:hint="eastAsia" w:ascii="宋体" w:hAnsi="宋体"/>
          <w:b/>
          <w:sz w:val="28"/>
          <w:szCs w:val="28"/>
          <w:u w:val="single"/>
        </w:rPr>
        <w:t xml:space="preserve">  </w:t>
      </w:r>
      <w:r>
        <w:rPr>
          <w:rFonts w:ascii="宋体" w:hAnsi="宋体"/>
          <w:b/>
          <w:sz w:val="28"/>
          <w:szCs w:val="28"/>
        </w:rPr>
        <w:t>月</w:t>
      </w:r>
      <w:r>
        <w:rPr>
          <w:rFonts w:hint="eastAsia" w:ascii="宋体" w:hAnsi="宋体"/>
          <w:b/>
          <w:sz w:val="28"/>
          <w:szCs w:val="28"/>
          <w:u w:val="single"/>
        </w:rPr>
        <w:t xml:space="preserve"> </w:t>
      </w:r>
      <w:r>
        <w:rPr>
          <w:rFonts w:hint="eastAsia" w:ascii="宋体" w:hAnsi="宋体"/>
          <w:b/>
          <w:sz w:val="28"/>
          <w:szCs w:val="28"/>
          <w:u w:val="single"/>
          <w:lang w:val="en-US" w:eastAsia="zh-CN"/>
        </w:rPr>
        <w:t>28</w:t>
      </w:r>
      <w:r>
        <w:rPr>
          <w:rFonts w:hint="eastAsia" w:ascii="宋体" w:hAnsi="宋体"/>
          <w:b/>
          <w:sz w:val="28"/>
          <w:szCs w:val="28"/>
          <w:u w:val="single"/>
        </w:rPr>
        <w:t xml:space="preserve"> </w:t>
      </w:r>
      <w:r>
        <w:rPr>
          <w:rFonts w:ascii="宋体" w:hAnsi="宋体"/>
          <w:b/>
          <w:sz w:val="28"/>
          <w:szCs w:val="28"/>
        </w:rPr>
        <w:t>日</w:t>
      </w:r>
    </w:p>
    <w:p>
      <w:pPr>
        <w:spacing w:after="120" w:line="360" w:lineRule="atLeast"/>
        <w:jc w:val="center"/>
        <w:rPr>
          <w:rFonts w:ascii="宋体" w:hAnsi="宋体" w:cs="宋体"/>
          <w:sz w:val="24"/>
        </w:rPr>
        <w:sectPr>
          <w:headerReference r:id="rId4" w:type="first"/>
          <w:headerReference r:id="rId3" w:type="default"/>
          <w:footerReference r:id="rId5" w:type="default"/>
          <w:pgSz w:w="11906" w:h="16838"/>
          <w:pgMar w:top="1440" w:right="1701" w:bottom="1440" w:left="1701" w:header="851" w:footer="992" w:gutter="0"/>
          <w:cols w:space="720" w:num="1"/>
          <w:docGrid w:type="linesAndChars" w:linePitch="380" w:charSpace="0"/>
        </w:sectPr>
      </w:pPr>
    </w:p>
    <w:p>
      <w:pPr>
        <w:spacing w:after="120" w:line="360" w:lineRule="atLeast"/>
        <w:jc w:val="center"/>
        <w:rPr>
          <w:rFonts w:ascii="宋体" w:hAnsi="宋体" w:cs="宋体"/>
          <w:b/>
          <w:sz w:val="24"/>
        </w:rPr>
      </w:pPr>
      <w:r>
        <w:rPr>
          <w:rFonts w:hint="eastAsia" w:ascii="宋体" w:hAnsi="宋体" w:cs="宋体"/>
          <w:b/>
          <w:sz w:val="24"/>
        </w:rPr>
        <w:t>目  录</w:t>
      </w:r>
    </w:p>
    <w:p>
      <w:pPr>
        <w:pStyle w:val="28"/>
        <w:rPr>
          <w:rFonts w:asciiTheme="minorHAnsi" w:hAnsiTheme="minorHAnsi" w:eastAsiaTheme="minorEastAsia" w:cstheme="minorBidi"/>
          <w:szCs w:val="22"/>
        </w:rPr>
      </w:pPr>
      <w:r>
        <w:rPr>
          <w:rFonts w:hint="eastAsia" w:asciiTheme="minorEastAsia" w:hAnsiTheme="minorEastAsia" w:eastAsiaTheme="minorEastAsia" w:cstheme="minorEastAsia"/>
          <w:sz w:val="18"/>
          <w:szCs w:val="18"/>
        </w:rPr>
        <w:fldChar w:fldCharType="begin"/>
      </w:r>
      <w:r>
        <w:rPr>
          <w:rFonts w:hint="eastAsia" w:asciiTheme="minorEastAsia" w:hAnsiTheme="minorEastAsia" w:eastAsiaTheme="minorEastAsia" w:cstheme="minorEastAsia"/>
          <w:sz w:val="18"/>
          <w:szCs w:val="18"/>
        </w:rPr>
        <w:instrText xml:space="preserve"> TOC \o "1-3" \h \z \u </w:instrText>
      </w:r>
      <w:r>
        <w:rPr>
          <w:rFonts w:hint="eastAsia" w:asciiTheme="minorEastAsia" w:hAnsiTheme="minorEastAsia" w:eastAsiaTheme="minorEastAsia" w:cstheme="minorEastAsia"/>
          <w:sz w:val="18"/>
          <w:szCs w:val="18"/>
        </w:rPr>
        <w:fldChar w:fldCharType="separate"/>
      </w:r>
      <w:r>
        <w:fldChar w:fldCharType="begin"/>
      </w:r>
      <w:r>
        <w:instrText xml:space="preserve"> HYPERLINK \l "_Toc12017900" </w:instrText>
      </w:r>
      <w:r>
        <w:fldChar w:fldCharType="separate"/>
      </w:r>
      <w:r>
        <w:rPr>
          <w:rStyle w:val="44"/>
          <w:rFonts w:hint="eastAsia" w:cs="宋体"/>
          <w:b/>
          <w:kern w:val="0"/>
        </w:rPr>
        <w:t>第一章</w:t>
      </w:r>
      <w:r>
        <w:rPr>
          <w:rStyle w:val="44"/>
          <w:rFonts w:cs="宋体"/>
          <w:b/>
          <w:kern w:val="0"/>
        </w:rPr>
        <w:t xml:space="preserve">  </w:t>
      </w:r>
      <w:r>
        <w:rPr>
          <w:rStyle w:val="44"/>
          <w:rFonts w:hint="eastAsia" w:cs="宋体"/>
          <w:b/>
          <w:kern w:val="0"/>
        </w:rPr>
        <w:t>招标公告</w:t>
      </w:r>
      <w:r>
        <w:tab/>
      </w:r>
      <w:r>
        <w:fldChar w:fldCharType="begin"/>
      </w:r>
      <w:r>
        <w:instrText xml:space="preserve"> PAGEREF _Toc12017900 \h </w:instrText>
      </w:r>
      <w:r>
        <w:fldChar w:fldCharType="separate"/>
      </w:r>
      <w:r>
        <w:t>4</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"_Toc12017901" </w:instrText>
      </w:r>
      <w:r>
        <w:fldChar w:fldCharType="separate"/>
      </w:r>
      <w:r>
        <w:rPr>
          <w:rStyle w:val="44"/>
          <w:rFonts w:hint="eastAsia" w:cs="宋体"/>
          <w:b/>
          <w:kern w:val="0"/>
        </w:rPr>
        <w:t>第二章投标人须知</w:t>
      </w:r>
      <w:r>
        <w:tab/>
      </w:r>
      <w:r>
        <w:fldChar w:fldCharType="begin"/>
      </w:r>
      <w:r>
        <w:instrText xml:space="preserve"> PAGEREF _Toc12017901 \h </w:instrText>
      </w:r>
      <w:r>
        <w:fldChar w:fldCharType="separate"/>
      </w:r>
      <w:r>
        <w:t>6</w:t>
      </w:r>
      <w:r>
        <w:fldChar w:fldCharType="end"/>
      </w:r>
      <w:r>
        <w:fldChar w:fldCharType="end"/>
      </w:r>
    </w:p>
    <w:p>
      <w:pPr>
        <w:pStyle w:val="33"/>
        <w:rPr>
          <w:rFonts w:asciiTheme="minorHAnsi" w:hAnsiTheme="minorHAnsi" w:eastAsiaTheme="minorEastAsia" w:cstheme="minorBidi"/>
          <w:szCs w:val="22"/>
        </w:rPr>
      </w:pPr>
      <w:r>
        <w:fldChar w:fldCharType="begin"/>
      </w:r>
      <w:r>
        <w:instrText xml:space="preserve"> HYPERLINK \l "_Toc12017902" </w:instrText>
      </w:r>
      <w:r>
        <w:fldChar w:fldCharType="separate"/>
      </w:r>
      <w:r>
        <w:rPr>
          <w:rStyle w:val="44"/>
          <w:rFonts w:hint="eastAsia" w:ascii="宋体" w:hAnsi="宋体" w:cs="宋体"/>
        </w:rPr>
        <w:t>投标人须知前附表</w:t>
      </w:r>
      <w:r>
        <w:tab/>
      </w:r>
      <w:r>
        <w:fldChar w:fldCharType="begin"/>
      </w:r>
      <w:r>
        <w:instrText xml:space="preserve"> PAGEREF _Toc12017902 \h </w:instrText>
      </w:r>
      <w:r>
        <w:fldChar w:fldCharType="separate"/>
      </w:r>
      <w:r>
        <w:t>6</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"_Toc12017903" </w:instrText>
      </w:r>
      <w:r>
        <w:fldChar w:fldCharType="separate"/>
      </w:r>
      <w:r>
        <w:rPr>
          <w:rStyle w:val="44"/>
        </w:rPr>
        <w:t>1.</w:t>
      </w:r>
      <w:r>
        <w:rPr>
          <w:rFonts w:asciiTheme="minorHAnsi" w:hAnsiTheme="minorHAnsi" w:eastAsiaTheme="minorEastAsia" w:cstheme="minorBidi"/>
          <w:szCs w:val="22"/>
        </w:rPr>
        <w:tab/>
      </w:r>
      <w:r>
        <w:rPr>
          <w:rStyle w:val="44"/>
          <w:rFonts w:hint="eastAsia"/>
        </w:rPr>
        <w:t>总则</w:t>
      </w:r>
      <w:r>
        <w:tab/>
      </w:r>
      <w:r>
        <w:fldChar w:fldCharType="begin"/>
      </w:r>
      <w:r>
        <w:instrText xml:space="preserve"> PAGEREF _Toc12017903 \h </w:instrText>
      </w:r>
      <w:r>
        <w:fldChar w:fldCharType="separate"/>
      </w:r>
      <w:r>
        <w:t>8</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"_Toc12017904" </w:instrText>
      </w:r>
      <w:r>
        <w:fldChar w:fldCharType="separate"/>
      </w:r>
      <w:r>
        <w:rPr>
          <w:rStyle w:val="44"/>
        </w:rPr>
        <w:t>1.1</w:t>
      </w:r>
      <w:r>
        <w:rPr>
          <w:rStyle w:val="44"/>
          <w:rFonts w:hint="eastAsia"/>
        </w:rPr>
        <w:t>项目概况</w:t>
      </w:r>
      <w:r>
        <w:tab/>
      </w:r>
      <w:r>
        <w:fldChar w:fldCharType="begin"/>
      </w:r>
      <w:r>
        <w:instrText xml:space="preserve"> PAGEREF _Toc12017904 \h </w:instrText>
      </w:r>
      <w:r>
        <w:fldChar w:fldCharType="separate"/>
      </w:r>
      <w:r>
        <w:t>8</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"_Toc12017905" </w:instrText>
      </w:r>
      <w:r>
        <w:fldChar w:fldCharType="separate"/>
      </w:r>
      <w:r>
        <w:rPr>
          <w:rStyle w:val="44"/>
        </w:rPr>
        <w:t>1.2</w:t>
      </w:r>
      <w:r>
        <w:rPr>
          <w:rStyle w:val="44"/>
          <w:rFonts w:hint="eastAsia"/>
        </w:rPr>
        <w:t>采购范围</w:t>
      </w:r>
      <w:r>
        <w:tab/>
      </w:r>
      <w:r>
        <w:fldChar w:fldCharType="begin"/>
      </w:r>
      <w:r>
        <w:instrText xml:space="preserve"> PAGEREF _Toc12017905 \h </w:instrText>
      </w:r>
      <w:r>
        <w:fldChar w:fldCharType="separate"/>
      </w:r>
      <w:r>
        <w:t>8</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"_Toc12017906" </w:instrText>
      </w:r>
      <w:r>
        <w:fldChar w:fldCharType="separate"/>
      </w:r>
      <w:r>
        <w:rPr>
          <w:rStyle w:val="44"/>
        </w:rPr>
        <w:t>1.3</w:t>
      </w:r>
      <w:r>
        <w:rPr>
          <w:rStyle w:val="44"/>
          <w:rFonts w:hint="eastAsia"/>
        </w:rPr>
        <w:t>招标方式</w:t>
      </w:r>
      <w:r>
        <w:tab/>
      </w:r>
      <w:r>
        <w:fldChar w:fldCharType="begin"/>
      </w:r>
      <w:r>
        <w:instrText xml:space="preserve"> PAGEREF _Toc12017906 \h </w:instrText>
      </w:r>
      <w:r>
        <w:fldChar w:fldCharType="separate"/>
      </w:r>
      <w:r>
        <w:t>8</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"_Toc12017907" </w:instrText>
      </w:r>
      <w:r>
        <w:fldChar w:fldCharType="separate"/>
      </w:r>
      <w:r>
        <w:rPr>
          <w:rStyle w:val="44"/>
        </w:rPr>
        <w:t>1.4</w:t>
      </w:r>
      <w:r>
        <w:rPr>
          <w:rStyle w:val="44"/>
          <w:rFonts w:hint="eastAsia"/>
        </w:rPr>
        <w:t>招标组织形式</w:t>
      </w:r>
      <w:r>
        <w:tab/>
      </w:r>
      <w:r>
        <w:fldChar w:fldCharType="begin"/>
      </w:r>
      <w:r>
        <w:instrText xml:space="preserve"> PAGEREF _Toc12017907 \h </w:instrText>
      </w:r>
      <w:r>
        <w:fldChar w:fldCharType="separate"/>
      </w:r>
      <w:r>
        <w:t>13</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"_Toc12017908" </w:instrText>
      </w:r>
      <w:r>
        <w:fldChar w:fldCharType="separate"/>
      </w:r>
      <w:r>
        <w:rPr>
          <w:rStyle w:val="44"/>
        </w:rPr>
        <w:t>1.5</w:t>
      </w:r>
      <w:r>
        <w:rPr>
          <w:rStyle w:val="44"/>
          <w:rFonts w:hint="eastAsia"/>
        </w:rPr>
        <w:t>投标人不得存在的情形</w:t>
      </w:r>
      <w:r>
        <w:tab/>
      </w:r>
      <w:r>
        <w:fldChar w:fldCharType="begin"/>
      </w:r>
      <w:r>
        <w:instrText xml:space="preserve"> PAGEREF _Toc12017908 \h </w:instrText>
      </w:r>
      <w:r>
        <w:fldChar w:fldCharType="separate"/>
      </w:r>
      <w:r>
        <w:t>13</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"_Toc12017909" </w:instrText>
      </w:r>
      <w:r>
        <w:fldChar w:fldCharType="separate"/>
      </w:r>
      <w:r>
        <w:rPr>
          <w:rStyle w:val="44"/>
        </w:rPr>
        <w:t>1.6</w:t>
      </w:r>
      <w:r>
        <w:rPr>
          <w:rStyle w:val="44"/>
          <w:rFonts w:hint="eastAsia"/>
        </w:rPr>
        <w:t>合格的货物和服务</w:t>
      </w:r>
      <w:r>
        <w:tab/>
      </w:r>
      <w:r>
        <w:fldChar w:fldCharType="begin"/>
      </w:r>
      <w:r>
        <w:instrText xml:space="preserve"> PAGEREF _Toc12017909 \h </w:instrText>
      </w:r>
      <w:r>
        <w:fldChar w:fldCharType="separate"/>
      </w:r>
      <w:r>
        <w:t>13</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"_Toc12017910" </w:instrText>
      </w:r>
      <w:r>
        <w:fldChar w:fldCharType="separate"/>
      </w:r>
      <w:r>
        <w:rPr>
          <w:rStyle w:val="44"/>
        </w:rPr>
        <w:t>1.7</w:t>
      </w:r>
      <w:r>
        <w:rPr>
          <w:rStyle w:val="44"/>
          <w:rFonts w:hint="eastAsia"/>
        </w:rPr>
        <w:t>保密</w:t>
      </w:r>
      <w:r>
        <w:tab/>
      </w:r>
      <w:r>
        <w:fldChar w:fldCharType="begin"/>
      </w:r>
      <w:r>
        <w:instrText xml:space="preserve"> PAGEREF _Toc12017910 \h </w:instrText>
      </w:r>
      <w:r>
        <w:fldChar w:fldCharType="separate"/>
      </w:r>
      <w:r>
        <w:t>13</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"_Toc12017911" </w:instrText>
      </w:r>
      <w:r>
        <w:fldChar w:fldCharType="separate"/>
      </w:r>
      <w:r>
        <w:rPr>
          <w:rStyle w:val="44"/>
        </w:rPr>
        <w:t>2.</w:t>
      </w:r>
      <w:r>
        <w:rPr>
          <w:rFonts w:asciiTheme="minorHAnsi" w:hAnsiTheme="minorHAnsi" w:eastAsiaTheme="minorEastAsia" w:cstheme="minorBidi"/>
          <w:szCs w:val="22"/>
        </w:rPr>
        <w:tab/>
      </w:r>
      <w:r>
        <w:rPr>
          <w:rStyle w:val="44"/>
          <w:rFonts w:hint="eastAsia"/>
        </w:rPr>
        <w:t>竞争性磋商文件</w:t>
      </w:r>
      <w:r>
        <w:tab/>
      </w:r>
      <w:r>
        <w:fldChar w:fldCharType="begin"/>
      </w:r>
      <w:r>
        <w:instrText xml:space="preserve"> PAGEREF _Toc12017911 \h </w:instrText>
      </w:r>
      <w:r>
        <w:fldChar w:fldCharType="separate"/>
      </w:r>
      <w:r>
        <w:t>13</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"_Toc12017912" </w:instrText>
      </w:r>
      <w:r>
        <w:fldChar w:fldCharType="separate"/>
      </w:r>
      <w:r>
        <w:rPr>
          <w:rStyle w:val="44"/>
        </w:rPr>
        <w:t>2.1</w:t>
      </w:r>
      <w:r>
        <w:rPr>
          <w:rStyle w:val="44"/>
          <w:rFonts w:hint="eastAsia"/>
        </w:rPr>
        <w:t>竞争性磋商文件的组成</w:t>
      </w:r>
      <w:r>
        <w:tab/>
      </w:r>
      <w:r>
        <w:fldChar w:fldCharType="begin"/>
      </w:r>
      <w:r>
        <w:instrText xml:space="preserve"> PAGEREF _Toc12017912 \h </w:instrText>
      </w:r>
      <w:r>
        <w:fldChar w:fldCharType="separate"/>
      </w:r>
      <w:r>
        <w:t>13</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"_Toc12017913" </w:instrText>
      </w:r>
      <w:r>
        <w:fldChar w:fldCharType="separate"/>
      </w:r>
      <w:r>
        <w:rPr>
          <w:rStyle w:val="44"/>
        </w:rPr>
        <w:t>2.2</w:t>
      </w:r>
      <w:r>
        <w:rPr>
          <w:rStyle w:val="44"/>
          <w:rFonts w:hint="eastAsia"/>
        </w:rPr>
        <w:t>踏勘现场</w:t>
      </w:r>
      <w:r>
        <w:tab/>
      </w:r>
      <w:r>
        <w:fldChar w:fldCharType="begin"/>
      </w:r>
      <w:r>
        <w:instrText xml:space="preserve"> PAGEREF _Toc12017913 \h </w:instrText>
      </w:r>
      <w:r>
        <w:fldChar w:fldCharType="separate"/>
      </w:r>
      <w:r>
        <w:t>14</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"_Toc12017914" </w:instrText>
      </w:r>
      <w:r>
        <w:fldChar w:fldCharType="separate"/>
      </w:r>
      <w:r>
        <w:rPr>
          <w:rStyle w:val="44"/>
        </w:rPr>
        <w:t>3.</w:t>
      </w:r>
      <w:r>
        <w:rPr>
          <w:rFonts w:asciiTheme="minorHAnsi" w:hAnsiTheme="minorHAnsi" w:eastAsiaTheme="minorEastAsia" w:cstheme="minorBidi"/>
          <w:szCs w:val="22"/>
        </w:rPr>
        <w:tab/>
      </w:r>
      <w:r>
        <w:rPr>
          <w:rStyle w:val="44"/>
          <w:rFonts w:hint="eastAsia"/>
        </w:rPr>
        <w:t>投标文件</w:t>
      </w:r>
      <w:r>
        <w:tab/>
      </w:r>
      <w:r>
        <w:fldChar w:fldCharType="begin"/>
      </w:r>
      <w:r>
        <w:instrText xml:space="preserve"> PAGEREF _Toc12017914 \h </w:instrText>
      </w:r>
      <w:r>
        <w:fldChar w:fldCharType="separate"/>
      </w:r>
      <w:r>
        <w:t>14</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"_Toc12017915" </w:instrText>
      </w:r>
      <w:r>
        <w:fldChar w:fldCharType="separate"/>
      </w:r>
      <w:r>
        <w:rPr>
          <w:rStyle w:val="44"/>
        </w:rPr>
        <w:t>3.1</w:t>
      </w:r>
      <w:r>
        <w:rPr>
          <w:rStyle w:val="44"/>
          <w:rFonts w:hint="eastAsia"/>
        </w:rPr>
        <w:t>投标文件的组成</w:t>
      </w:r>
      <w:r>
        <w:tab/>
      </w:r>
      <w:r>
        <w:fldChar w:fldCharType="begin"/>
      </w:r>
      <w:r>
        <w:instrText xml:space="preserve"> PAGEREF _Toc12017915 \h </w:instrText>
      </w:r>
      <w:r>
        <w:fldChar w:fldCharType="separate"/>
      </w:r>
      <w:r>
        <w:t>14</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"_Toc12017916" </w:instrText>
      </w:r>
      <w:r>
        <w:fldChar w:fldCharType="separate"/>
      </w:r>
      <w:r>
        <w:rPr>
          <w:rStyle w:val="44"/>
        </w:rPr>
        <w:t>3.2</w:t>
      </w:r>
      <w:r>
        <w:rPr>
          <w:rStyle w:val="44"/>
          <w:rFonts w:hint="eastAsia"/>
        </w:rPr>
        <w:t>投标文件的编制</w:t>
      </w:r>
      <w:r>
        <w:tab/>
      </w:r>
      <w:r>
        <w:fldChar w:fldCharType="begin"/>
      </w:r>
      <w:r>
        <w:instrText xml:space="preserve"> PAGEREF _Toc12017916 \h </w:instrText>
      </w:r>
      <w:r>
        <w:fldChar w:fldCharType="separate"/>
      </w:r>
      <w:r>
        <w:t>14</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"_Toc12017917" </w:instrText>
      </w:r>
      <w:r>
        <w:fldChar w:fldCharType="separate"/>
      </w:r>
      <w:r>
        <w:rPr>
          <w:rStyle w:val="44"/>
        </w:rPr>
        <w:t>3.3</w:t>
      </w:r>
      <w:r>
        <w:rPr>
          <w:rStyle w:val="44"/>
          <w:rFonts w:hint="eastAsia"/>
        </w:rPr>
        <w:t>投标报价</w:t>
      </w:r>
      <w:r>
        <w:tab/>
      </w:r>
      <w:r>
        <w:fldChar w:fldCharType="begin"/>
      </w:r>
      <w:r>
        <w:instrText xml:space="preserve"> PAGEREF _Toc12017917 \h </w:instrText>
      </w:r>
      <w:r>
        <w:fldChar w:fldCharType="separate"/>
      </w:r>
      <w:r>
        <w:t>15</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"_Toc12017918" </w:instrText>
      </w:r>
      <w:r>
        <w:fldChar w:fldCharType="separate"/>
      </w:r>
      <w:r>
        <w:rPr>
          <w:rStyle w:val="44"/>
        </w:rPr>
        <w:t>3.4</w:t>
      </w:r>
      <w:r>
        <w:rPr>
          <w:rStyle w:val="44"/>
          <w:rFonts w:hint="eastAsia"/>
        </w:rPr>
        <w:t>投标文件的式样、密封和标记</w:t>
      </w:r>
      <w:r>
        <w:tab/>
      </w:r>
      <w:r>
        <w:fldChar w:fldCharType="begin"/>
      </w:r>
      <w:r>
        <w:instrText xml:space="preserve"> PAGEREF _Toc12017918 \h </w:instrText>
      </w:r>
      <w:r>
        <w:fldChar w:fldCharType="separate"/>
      </w:r>
      <w:r>
        <w:t>15</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"_Toc12017919" </w:instrText>
      </w:r>
      <w:r>
        <w:fldChar w:fldCharType="separate"/>
      </w:r>
      <w:r>
        <w:rPr>
          <w:rStyle w:val="44"/>
        </w:rPr>
        <w:t>4.</w:t>
      </w:r>
      <w:r>
        <w:rPr>
          <w:rFonts w:asciiTheme="minorHAnsi" w:hAnsiTheme="minorHAnsi" w:eastAsiaTheme="minorEastAsia" w:cstheme="minorBidi"/>
          <w:szCs w:val="22"/>
        </w:rPr>
        <w:tab/>
      </w:r>
      <w:r>
        <w:rPr>
          <w:rStyle w:val="44"/>
          <w:rFonts w:hint="eastAsia"/>
        </w:rPr>
        <w:t>投标</w:t>
      </w:r>
      <w:r>
        <w:tab/>
      </w:r>
      <w:r>
        <w:fldChar w:fldCharType="begin"/>
      </w:r>
      <w:r>
        <w:instrText xml:space="preserve"> PAGEREF _Toc12017919 \h </w:instrText>
      </w:r>
      <w:r>
        <w:fldChar w:fldCharType="separate"/>
      </w:r>
      <w:r>
        <w:t>15</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"_Toc12017920" </w:instrText>
      </w:r>
      <w:r>
        <w:fldChar w:fldCharType="separate"/>
      </w:r>
      <w:r>
        <w:rPr>
          <w:rStyle w:val="44"/>
        </w:rPr>
        <w:t>4.1</w:t>
      </w:r>
      <w:r>
        <w:rPr>
          <w:rStyle w:val="44"/>
          <w:rFonts w:hint="eastAsia"/>
        </w:rPr>
        <w:t>投标文件的递交</w:t>
      </w:r>
      <w:r>
        <w:tab/>
      </w:r>
      <w:r>
        <w:fldChar w:fldCharType="begin"/>
      </w:r>
      <w:r>
        <w:instrText xml:space="preserve"> PAGEREF _Toc12017920 \h </w:instrText>
      </w:r>
      <w:r>
        <w:fldChar w:fldCharType="separate"/>
      </w:r>
      <w:r>
        <w:t>15</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"_Toc12017921" </w:instrText>
      </w:r>
      <w:r>
        <w:fldChar w:fldCharType="separate"/>
      </w:r>
      <w:r>
        <w:rPr>
          <w:rStyle w:val="44"/>
        </w:rPr>
        <w:t>4.2</w:t>
      </w:r>
      <w:r>
        <w:rPr>
          <w:rStyle w:val="44"/>
          <w:rFonts w:hint="eastAsia"/>
        </w:rPr>
        <w:t>投标文件的修改、撤回和撤销</w:t>
      </w:r>
      <w:r>
        <w:tab/>
      </w:r>
      <w:r>
        <w:fldChar w:fldCharType="begin"/>
      </w:r>
      <w:r>
        <w:instrText xml:space="preserve"> PAGEREF _Toc12017921 \h </w:instrText>
      </w:r>
      <w:r>
        <w:fldChar w:fldCharType="separate"/>
      </w:r>
      <w:r>
        <w:t>16</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"_Toc12017922" </w:instrText>
      </w:r>
      <w:r>
        <w:fldChar w:fldCharType="separate"/>
      </w:r>
      <w:r>
        <w:rPr>
          <w:rStyle w:val="44"/>
        </w:rPr>
        <w:t>5.2</w:t>
      </w:r>
      <w:r>
        <w:rPr>
          <w:rStyle w:val="44"/>
          <w:rFonts w:hint="eastAsia"/>
        </w:rPr>
        <w:t>唱价程序</w:t>
      </w:r>
      <w:r>
        <w:tab/>
      </w:r>
      <w:r>
        <w:fldChar w:fldCharType="begin"/>
      </w:r>
      <w:r>
        <w:instrText xml:space="preserve"> PAGEREF _Toc12017922 \h </w:instrText>
      </w:r>
      <w:r>
        <w:fldChar w:fldCharType="separate"/>
      </w:r>
      <w:r>
        <w:t>16</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"_Toc12017923" </w:instrText>
      </w:r>
      <w:r>
        <w:fldChar w:fldCharType="separate"/>
      </w:r>
      <w:r>
        <w:rPr>
          <w:rStyle w:val="44"/>
        </w:rPr>
        <w:t>5.</w:t>
      </w:r>
      <w:r>
        <w:rPr>
          <w:rFonts w:asciiTheme="minorHAnsi" w:hAnsiTheme="minorHAnsi" w:eastAsiaTheme="minorEastAsia" w:cstheme="minorBidi"/>
          <w:szCs w:val="22"/>
        </w:rPr>
        <w:tab/>
      </w:r>
      <w:r>
        <w:rPr>
          <w:rStyle w:val="44"/>
          <w:rFonts w:hint="eastAsia"/>
        </w:rPr>
        <w:t>唱价</w:t>
      </w:r>
      <w:r>
        <w:tab/>
      </w:r>
      <w:r>
        <w:fldChar w:fldCharType="begin"/>
      </w:r>
      <w:r>
        <w:instrText xml:space="preserve"> PAGEREF _Toc12017923 \h </w:instrText>
      </w:r>
      <w:r>
        <w:fldChar w:fldCharType="separate"/>
      </w:r>
      <w:r>
        <w:t>16</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"_Toc12017924" </w:instrText>
      </w:r>
      <w:r>
        <w:fldChar w:fldCharType="separate"/>
      </w:r>
      <w:r>
        <w:rPr>
          <w:rStyle w:val="44"/>
        </w:rPr>
        <w:t>5.1</w:t>
      </w:r>
      <w:r>
        <w:rPr>
          <w:rStyle w:val="44"/>
          <w:rFonts w:hint="eastAsia"/>
        </w:rPr>
        <w:t>唱价时间和地点</w:t>
      </w:r>
      <w:r>
        <w:tab/>
      </w:r>
      <w:r>
        <w:fldChar w:fldCharType="begin"/>
      </w:r>
      <w:r>
        <w:instrText xml:space="preserve"> PAGEREF _Toc12017924 \h </w:instrText>
      </w:r>
      <w:r>
        <w:fldChar w:fldCharType="separate"/>
      </w:r>
      <w:r>
        <w:t>16</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"_Toc12017925" </w:instrText>
      </w:r>
      <w:r>
        <w:fldChar w:fldCharType="separate"/>
      </w:r>
      <w:r>
        <w:rPr>
          <w:rStyle w:val="44"/>
        </w:rPr>
        <w:t>5.3</w:t>
      </w:r>
      <w:r>
        <w:rPr>
          <w:rStyle w:val="44"/>
          <w:rFonts w:hint="eastAsia"/>
        </w:rPr>
        <w:t>异议</w:t>
      </w:r>
      <w:r>
        <w:tab/>
      </w:r>
      <w:r>
        <w:fldChar w:fldCharType="begin"/>
      </w:r>
      <w:r>
        <w:instrText xml:space="preserve"> PAGEREF _Toc12017925 \h </w:instrText>
      </w:r>
      <w:r>
        <w:fldChar w:fldCharType="separate"/>
      </w:r>
      <w:r>
        <w:t>17</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"_Toc12017926" </w:instrText>
      </w:r>
      <w:r>
        <w:fldChar w:fldCharType="separate"/>
      </w:r>
      <w:r>
        <w:rPr>
          <w:rStyle w:val="44"/>
        </w:rPr>
        <w:t>6.</w:t>
      </w:r>
      <w:r>
        <w:rPr>
          <w:rFonts w:asciiTheme="minorHAnsi" w:hAnsiTheme="minorHAnsi" w:eastAsiaTheme="minorEastAsia" w:cstheme="minorBidi"/>
          <w:szCs w:val="22"/>
        </w:rPr>
        <w:tab/>
      </w:r>
      <w:r>
        <w:rPr>
          <w:rStyle w:val="44"/>
          <w:rFonts w:hint="eastAsia"/>
        </w:rPr>
        <w:t>评选</w:t>
      </w:r>
      <w:r>
        <w:tab/>
      </w:r>
      <w:r>
        <w:fldChar w:fldCharType="begin"/>
      </w:r>
      <w:r>
        <w:instrText xml:space="preserve"> PAGEREF _Toc12017926 \h </w:instrText>
      </w:r>
      <w:r>
        <w:fldChar w:fldCharType="separate"/>
      </w:r>
      <w:r>
        <w:t>17</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"_Toc12017927" </w:instrText>
      </w:r>
      <w:r>
        <w:fldChar w:fldCharType="separate"/>
      </w:r>
      <w:r>
        <w:rPr>
          <w:rStyle w:val="44"/>
        </w:rPr>
        <w:t>6.1</w:t>
      </w:r>
      <w:r>
        <w:rPr>
          <w:rStyle w:val="44"/>
          <w:rFonts w:hint="eastAsia"/>
        </w:rPr>
        <w:t>评选委员会</w:t>
      </w:r>
      <w:r>
        <w:tab/>
      </w:r>
      <w:r>
        <w:fldChar w:fldCharType="begin"/>
      </w:r>
      <w:r>
        <w:instrText xml:space="preserve"> PAGEREF _Toc12017927 \h </w:instrText>
      </w:r>
      <w:r>
        <w:fldChar w:fldCharType="separate"/>
      </w:r>
      <w:r>
        <w:t>17</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"_Toc12017928" </w:instrText>
      </w:r>
      <w:r>
        <w:fldChar w:fldCharType="separate"/>
      </w:r>
      <w:r>
        <w:rPr>
          <w:rStyle w:val="44"/>
        </w:rPr>
        <w:t>6.2</w:t>
      </w:r>
      <w:r>
        <w:rPr>
          <w:rStyle w:val="44"/>
          <w:rFonts w:hint="eastAsia"/>
        </w:rPr>
        <w:t>评选原则</w:t>
      </w:r>
      <w:r>
        <w:tab/>
      </w:r>
      <w:r>
        <w:fldChar w:fldCharType="begin"/>
      </w:r>
      <w:r>
        <w:instrText xml:space="preserve"> PAGEREF _Toc12017928 \h </w:instrText>
      </w:r>
      <w:r>
        <w:fldChar w:fldCharType="separate"/>
      </w:r>
      <w:r>
        <w:t>17</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"_Toc12017929" </w:instrText>
      </w:r>
      <w:r>
        <w:fldChar w:fldCharType="separate"/>
      </w:r>
      <w:r>
        <w:rPr>
          <w:rStyle w:val="44"/>
        </w:rPr>
        <w:t>6.3</w:t>
      </w:r>
      <w:r>
        <w:rPr>
          <w:rStyle w:val="44"/>
          <w:rFonts w:hint="eastAsia"/>
        </w:rPr>
        <w:t>评选方法</w:t>
      </w:r>
      <w:r>
        <w:tab/>
      </w:r>
      <w:r>
        <w:fldChar w:fldCharType="begin"/>
      </w:r>
      <w:r>
        <w:instrText xml:space="preserve"> PAGEREF _Toc12017929 \h </w:instrText>
      </w:r>
      <w:r>
        <w:fldChar w:fldCharType="separate"/>
      </w:r>
      <w:r>
        <w:t>17</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"_Toc12017930" </w:instrText>
      </w:r>
      <w:r>
        <w:fldChar w:fldCharType="separate"/>
      </w:r>
      <w:r>
        <w:rPr>
          <w:rStyle w:val="44"/>
        </w:rPr>
        <w:t>6.4</w:t>
      </w:r>
      <w:r>
        <w:rPr>
          <w:rStyle w:val="44"/>
          <w:rFonts w:hint="eastAsia"/>
        </w:rPr>
        <w:t>中选候选人推荐原则</w:t>
      </w:r>
      <w:r>
        <w:tab/>
      </w:r>
      <w:r>
        <w:fldChar w:fldCharType="begin"/>
      </w:r>
      <w:r>
        <w:instrText xml:space="preserve"> PAGEREF _Toc12017930 \h </w:instrText>
      </w:r>
      <w:r>
        <w:fldChar w:fldCharType="separate"/>
      </w:r>
      <w:r>
        <w:t>17</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"_Toc12017931" </w:instrText>
      </w:r>
      <w:r>
        <w:fldChar w:fldCharType="separate"/>
      </w:r>
      <w:r>
        <w:rPr>
          <w:rStyle w:val="44"/>
        </w:rPr>
        <w:t>6.5</w:t>
      </w:r>
      <w:r>
        <w:rPr>
          <w:rStyle w:val="44"/>
          <w:rFonts w:hint="eastAsia"/>
        </w:rPr>
        <w:t>评选报告</w:t>
      </w:r>
      <w:r>
        <w:tab/>
      </w:r>
      <w:r>
        <w:fldChar w:fldCharType="begin"/>
      </w:r>
      <w:r>
        <w:instrText xml:space="preserve"> PAGEREF _Toc12017931 \h </w:instrText>
      </w:r>
      <w:r>
        <w:fldChar w:fldCharType="separate"/>
      </w:r>
      <w:r>
        <w:t>17</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"_Toc12017932" </w:instrText>
      </w:r>
      <w:r>
        <w:fldChar w:fldCharType="separate"/>
      </w:r>
      <w:r>
        <w:rPr>
          <w:rStyle w:val="44"/>
        </w:rPr>
        <w:t>7.</w:t>
      </w:r>
      <w:r>
        <w:rPr>
          <w:rFonts w:asciiTheme="minorHAnsi" w:hAnsiTheme="minorHAnsi" w:eastAsiaTheme="minorEastAsia" w:cstheme="minorBidi"/>
          <w:szCs w:val="22"/>
        </w:rPr>
        <w:tab/>
      </w:r>
      <w:r>
        <w:rPr>
          <w:rStyle w:val="44"/>
          <w:rFonts w:hint="eastAsia"/>
        </w:rPr>
        <w:t>中选</w:t>
      </w:r>
      <w:r>
        <w:tab/>
      </w:r>
      <w:r>
        <w:fldChar w:fldCharType="begin"/>
      </w:r>
      <w:r>
        <w:instrText xml:space="preserve"> PAGEREF _Toc12017932 \h </w:instrText>
      </w:r>
      <w:r>
        <w:fldChar w:fldCharType="separate"/>
      </w:r>
      <w:r>
        <w:t>17</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"_Toc12017933" </w:instrText>
      </w:r>
      <w:r>
        <w:fldChar w:fldCharType="separate"/>
      </w:r>
      <w:r>
        <w:rPr>
          <w:rStyle w:val="44"/>
        </w:rPr>
        <w:t>7.1</w:t>
      </w:r>
      <w:r>
        <w:rPr>
          <w:rStyle w:val="44"/>
          <w:rFonts w:hint="eastAsia"/>
        </w:rPr>
        <w:t>确定中选人</w:t>
      </w:r>
      <w:r>
        <w:tab/>
      </w:r>
      <w:r>
        <w:fldChar w:fldCharType="begin"/>
      </w:r>
      <w:r>
        <w:instrText xml:space="preserve"> PAGEREF _Toc12017933 \h </w:instrText>
      </w:r>
      <w:r>
        <w:fldChar w:fldCharType="separate"/>
      </w:r>
      <w:r>
        <w:t>17</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"_Toc12017934" </w:instrText>
      </w:r>
      <w:r>
        <w:fldChar w:fldCharType="separate"/>
      </w:r>
      <w:r>
        <w:rPr>
          <w:rStyle w:val="44"/>
        </w:rPr>
        <w:t>7.3</w:t>
      </w:r>
      <w:r>
        <w:rPr>
          <w:rStyle w:val="44"/>
          <w:rFonts w:hint="eastAsia"/>
        </w:rPr>
        <w:t>中选通知</w:t>
      </w:r>
      <w:r>
        <w:tab/>
      </w:r>
      <w:r>
        <w:fldChar w:fldCharType="begin"/>
      </w:r>
      <w:r>
        <w:instrText xml:space="preserve"> PAGEREF _Toc12017934 \h </w:instrText>
      </w:r>
      <w:r>
        <w:fldChar w:fldCharType="separate"/>
      </w:r>
      <w:r>
        <w:t>18</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"_Toc12017935" </w:instrText>
      </w:r>
      <w:r>
        <w:fldChar w:fldCharType="separate"/>
      </w:r>
      <w:r>
        <w:rPr>
          <w:rStyle w:val="44"/>
        </w:rPr>
        <w:t>8.</w:t>
      </w:r>
      <w:r>
        <w:rPr>
          <w:rFonts w:asciiTheme="minorHAnsi" w:hAnsiTheme="minorHAnsi" w:eastAsiaTheme="minorEastAsia" w:cstheme="minorBidi"/>
          <w:szCs w:val="22"/>
        </w:rPr>
        <w:tab/>
      </w:r>
      <w:r>
        <w:rPr>
          <w:rStyle w:val="44"/>
          <w:rFonts w:hint="eastAsia"/>
        </w:rPr>
        <w:t>纪律和监督</w:t>
      </w:r>
      <w:r>
        <w:tab/>
      </w:r>
      <w:r>
        <w:fldChar w:fldCharType="begin"/>
      </w:r>
      <w:r>
        <w:instrText xml:space="preserve"> PAGEREF _Toc12017935 \h </w:instrText>
      </w:r>
      <w:r>
        <w:fldChar w:fldCharType="separate"/>
      </w:r>
      <w:r>
        <w:t>18</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"_Toc12017936" </w:instrText>
      </w:r>
      <w:r>
        <w:fldChar w:fldCharType="separate"/>
      </w:r>
      <w:r>
        <w:rPr>
          <w:rStyle w:val="44"/>
        </w:rPr>
        <w:t>8.1</w:t>
      </w:r>
      <w:r>
        <w:rPr>
          <w:rStyle w:val="44"/>
          <w:rFonts w:hint="eastAsia"/>
        </w:rPr>
        <w:t>对招标人的纪律要求</w:t>
      </w:r>
      <w:r>
        <w:tab/>
      </w:r>
      <w:r>
        <w:fldChar w:fldCharType="begin"/>
      </w:r>
      <w:r>
        <w:instrText xml:space="preserve"> PAGEREF _Toc12017936 \h </w:instrText>
      </w:r>
      <w:r>
        <w:fldChar w:fldCharType="separate"/>
      </w:r>
      <w:r>
        <w:t>18</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"_Toc12017937" </w:instrText>
      </w:r>
      <w:r>
        <w:fldChar w:fldCharType="separate"/>
      </w:r>
      <w:r>
        <w:rPr>
          <w:rStyle w:val="44"/>
        </w:rPr>
        <w:t>8.2</w:t>
      </w:r>
      <w:r>
        <w:rPr>
          <w:rStyle w:val="44"/>
          <w:rFonts w:hint="eastAsia"/>
        </w:rPr>
        <w:t>对投标人的纪律要求</w:t>
      </w:r>
      <w:r>
        <w:tab/>
      </w:r>
      <w:r>
        <w:fldChar w:fldCharType="begin"/>
      </w:r>
      <w:r>
        <w:instrText xml:space="preserve"> PAGEREF _Toc12017937 \h </w:instrText>
      </w:r>
      <w:r>
        <w:fldChar w:fldCharType="separate"/>
      </w:r>
      <w:r>
        <w:t>18</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"_Toc12017938" </w:instrText>
      </w:r>
      <w:r>
        <w:fldChar w:fldCharType="separate"/>
      </w:r>
      <w:r>
        <w:rPr>
          <w:rStyle w:val="44"/>
        </w:rPr>
        <w:t>8.3</w:t>
      </w:r>
      <w:r>
        <w:rPr>
          <w:rStyle w:val="44"/>
          <w:rFonts w:hint="eastAsia"/>
        </w:rPr>
        <w:t>对评选委员会成员的纪律要求</w:t>
      </w:r>
      <w:r>
        <w:tab/>
      </w:r>
      <w:r>
        <w:fldChar w:fldCharType="begin"/>
      </w:r>
      <w:r>
        <w:instrText xml:space="preserve"> PAGEREF _Toc12017938 \h </w:instrText>
      </w:r>
      <w:r>
        <w:fldChar w:fldCharType="separate"/>
      </w:r>
      <w:r>
        <w:t>18</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"_Toc12017939" </w:instrText>
      </w:r>
      <w:r>
        <w:fldChar w:fldCharType="separate"/>
      </w:r>
      <w:r>
        <w:rPr>
          <w:rStyle w:val="44"/>
        </w:rPr>
        <w:t>8.4</w:t>
      </w:r>
      <w:r>
        <w:rPr>
          <w:rStyle w:val="44"/>
          <w:rFonts w:hint="eastAsia"/>
        </w:rPr>
        <w:t>对与评选活动有关的工作人员的纪律要求</w:t>
      </w:r>
      <w:r>
        <w:tab/>
      </w:r>
      <w:r>
        <w:fldChar w:fldCharType="begin"/>
      </w:r>
      <w:r>
        <w:instrText xml:space="preserve"> PAGEREF _Toc12017939 \h </w:instrText>
      </w:r>
      <w:r>
        <w:fldChar w:fldCharType="separate"/>
      </w:r>
      <w:r>
        <w:t>19</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"_Toc12017940" </w:instrText>
      </w:r>
      <w:r>
        <w:fldChar w:fldCharType="separate"/>
      </w:r>
      <w:r>
        <w:rPr>
          <w:rStyle w:val="44"/>
        </w:rPr>
        <w:t>9.</w:t>
      </w:r>
      <w:r>
        <w:rPr>
          <w:rFonts w:asciiTheme="minorHAnsi" w:hAnsiTheme="minorHAnsi" w:eastAsiaTheme="minorEastAsia" w:cstheme="minorBidi"/>
          <w:szCs w:val="22"/>
        </w:rPr>
        <w:tab/>
      </w:r>
      <w:r>
        <w:rPr>
          <w:rStyle w:val="44"/>
          <w:rFonts w:hint="eastAsia"/>
        </w:rPr>
        <w:t>需要补充的其他内容</w:t>
      </w:r>
      <w:r>
        <w:tab/>
      </w:r>
      <w:r>
        <w:fldChar w:fldCharType="begin"/>
      </w:r>
      <w:r>
        <w:instrText xml:space="preserve"> PAGEREF _Toc12017940 \h </w:instrText>
      </w:r>
      <w:r>
        <w:fldChar w:fldCharType="separate"/>
      </w:r>
      <w:r>
        <w:rPr>
          <w:b/>
        </w:rPr>
        <w:t>。</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"_Toc12017941" </w:instrText>
      </w:r>
      <w:r>
        <w:fldChar w:fldCharType="separate"/>
      </w:r>
      <w:r>
        <w:rPr>
          <w:rStyle w:val="44"/>
          <w:kern w:val="0"/>
        </w:rPr>
        <w:t>10.</w:t>
      </w:r>
      <w:r>
        <w:rPr>
          <w:rFonts w:asciiTheme="minorHAnsi" w:hAnsiTheme="minorHAnsi" w:eastAsiaTheme="minorEastAsia" w:cstheme="minorBidi"/>
          <w:szCs w:val="22"/>
        </w:rPr>
        <w:tab/>
      </w:r>
      <w:r>
        <w:rPr>
          <w:rStyle w:val="44"/>
          <w:rFonts w:hint="eastAsia" w:ascii="黑体" w:hAnsi="Times New Roman" w:eastAsia="黑体"/>
          <w:kern w:val="0"/>
        </w:rPr>
        <w:t>特别说明</w:t>
      </w:r>
      <w:r>
        <w:tab/>
      </w:r>
      <w:r>
        <w:fldChar w:fldCharType="begin"/>
      </w:r>
      <w:r>
        <w:instrText xml:space="preserve"> PAGEREF _Toc12017941 \h </w:instrText>
      </w:r>
      <w:r>
        <w:fldChar w:fldCharType="separate"/>
      </w:r>
      <w:r>
        <w:t>19</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"_Toc12017942" </w:instrText>
      </w:r>
      <w:r>
        <w:fldChar w:fldCharType="separate"/>
      </w:r>
      <w:r>
        <w:rPr>
          <w:rStyle w:val="44"/>
          <w:rFonts w:ascii="仿宋_GB2312" w:hAnsi="仿宋_GB2312" w:eastAsia="仿宋_GB2312" w:cs="仿宋_GB2312"/>
          <w:b/>
        </w:rPr>
        <w:t>10.1</w:t>
      </w:r>
      <w:r>
        <w:rPr>
          <w:rStyle w:val="44"/>
          <w:rFonts w:hint="eastAsia" w:ascii="仿宋_GB2312" w:hAnsi="仿宋_GB2312" w:eastAsia="仿宋_GB2312" w:cs="仿宋_GB2312"/>
          <w:b/>
        </w:rPr>
        <w:t>技术培训</w:t>
      </w:r>
      <w:r>
        <w:tab/>
      </w:r>
      <w:r>
        <w:fldChar w:fldCharType="begin"/>
      </w:r>
      <w:r>
        <w:instrText xml:space="preserve"> PAGEREF _Toc12017942 \h </w:instrText>
      </w:r>
      <w:r>
        <w:fldChar w:fldCharType="separate"/>
      </w:r>
      <w:r>
        <w:t>19</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"_Toc12017943" </w:instrText>
      </w:r>
      <w:r>
        <w:fldChar w:fldCharType="separate"/>
      </w:r>
      <w:r>
        <w:rPr>
          <w:rStyle w:val="44"/>
          <w:rFonts w:ascii="仿宋_GB2312" w:hAnsi="仿宋_GB2312" w:eastAsia="仿宋_GB2312" w:cs="仿宋_GB2312"/>
          <w:b/>
        </w:rPr>
        <w:t>10.2</w:t>
      </w:r>
      <w:r>
        <w:rPr>
          <w:rStyle w:val="44"/>
          <w:rFonts w:hint="eastAsia" w:ascii="仿宋_GB2312" w:hAnsi="仿宋_GB2312" w:eastAsia="仿宋_GB2312" w:cs="仿宋_GB2312"/>
          <w:b/>
        </w:rPr>
        <w:t>售后服务</w:t>
      </w:r>
      <w:r>
        <w:tab/>
      </w:r>
      <w:r>
        <w:fldChar w:fldCharType="begin"/>
      </w:r>
      <w:r>
        <w:instrText xml:space="preserve"> PAGEREF _Toc12017943 \h </w:instrText>
      </w:r>
      <w:r>
        <w:fldChar w:fldCharType="separate"/>
      </w:r>
      <w:r>
        <w:t>19</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"_Toc12017944" </w:instrText>
      </w:r>
      <w:r>
        <w:fldChar w:fldCharType="separate"/>
      </w:r>
      <w:r>
        <w:rPr>
          <w:rStyle w:val="44"/>
          <w:rFonts w:ascii="仿宋_GB2312" w:hAnsi="仿宋_GB2312" w:eastAsia="仿宋_GB2312" w:cs="仿宋_GB2312"/>
          <w:b/>
        </w:rPr>
        <w:t>10.3</w:t>
      </w:r>
      <w:r>
        <w:rPr>
          <w:rStyle w:val="44"/>
          <w:rFonts w:hint="eastAsia" w:ascii="仿宋_GB2312" w:hAnsi="仿宋_GB2312" w:eastAsia="仿宋_GB2312" w:cs="仿宋_GB2312"/>
          <w:b/>
        </w:rPr>
        <w:t>工期</w:t>
      </w:r>
      <w:r>
        <w:tab/>
      </w:r>
      <w:r>
        <w:fldChar w:fldCharType="begin"/>
      </w:r>
      <w:r>
        <w:instrText xml:space="preserve"> PAGEREF _Toc12017944 \h </w:instrText>
      </w:r>
      <w:r>
        <w:fldChar w:fldCharType="separate"/>
      </w:r>
      <w:r>
        <w:t>19</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"_Toc12017945" </w:instrText>
      </w:r>
      <w:r>
        <w:fldChar w:fldCharType="separate"/>
      </w:r>
      <w:r>
        <w:rPr>
          <w:rStyle w:val="44"/>
          <w:rFonts w:ascii="仿宋_GB2312" w:hAnsi="仿宋_GB2312" w:eastAsia="仿宋_GB2312" w:cs="仿宋_GB2312"/>
          <w:b/>
        </w:rPr>
        <w:t>10.4</w:t>
      </w:r>
      <w:r>
        <w:rPr>
          <w:rStyle w:val="44"/>
          <w:rFonts w:hint="eastAsia" w:ascii="仿宋_GB2312" w:hAnsi="仿宋_GB2312" w:eastAsia="仿宋_GB2312" w:cs="仿宋_GB2312"/>
          <w:b/>
        </w:rPr>
        <w:t>履约保证金</w:t>
      </w:r>
      <w:r>
        <w:tab/>
      </w:r>
      <w:r>
        <w:fldChar w:fldCharType="begin"/>
      </w:r>
      <w:r>
        <w:instrText xml:space="preserve"> PAGEREF _Toc12017945 \h </w:instrText>
      </w:r>
      <w:r>
        <w:fldChar w:fldCharType="separate"/>
      </w:r>
      <w:r>
        <w:t>19</w:t>
      </w:r>
      <w:r>
        <w:fldChar w:fldCharType="end"/>
      </w:r>
      <w:r>
        <w:fldChar w:fldCharType="end"/>
      </w:r>
    </w:p>
    <w:p>
      <w:pPr>
        <w:pStyle w:val="33"/>
        <w:rPr>
          <w:rFonts w:asciiTheme="minorHAnsi" w:hAnsiTheme="minorHAnsi" w:eastAsiaTheme="minorEastAsia" w:cstheme="minorBidi"/>
          <w:szCs w:val="22"/>
        </w:rPr>
      </w:pPr>
      <w:r>
        <w:fldChar w:fldCharType="begin"/>
      </w:r>
      <w:r>
        <w:instrText xml:space="preserve"> HYPERLINK \l "_Toc12017946" </w:instrText>
      </w:r>
      <w:r>
        <w:fldChar w:fldCharType="separate"/>
      </w:r>
      <w:r>
        <w:rPr>
          <w:rStyle w:val="44"/>
          <w:rFonts w:hint="eastAsia" w:ascii="宋体" w:hAnsi="宋体" w:cs="宋体"/>
        </w:rPr>
        <w:t>评选办法前附表</w:t>
      </w:r>
      <w:r>
        <w:tab/>
      </w:r>
      <w:r>
        <w:fldChar w:fldCharType="begin"/>
      </w:r>
      <w:r>
        <w:instrText xml:space="preserve"> PAGEREF _Toc12017946 \h </w:instrText>
      </w:r>
      <w:r>
        <w:fldChar w:fldCharType="separate"/>
      </w:r>
      <w:r>
        <w:t>20</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"_Toc12017947" </w:instrText>
      </w:r>
      <w:r>
        <w:fldChar w:fldCharType="separate"/>
      </w:r>
      <w:r>
        <w:rPr>
          <w:rStyle w:val="44"/>
        </w:rPr>
        <w:t>1.</w:t>
      </w:r>
      <w:r>
        <w:rPr>
          <w:rFonts w:asciiTheme="minorHAnsi" w:hAnsiTheme="minorHAnsi" w:eastAsiaTheme="minorEastAsia" w:cstheme="minorBidi"/>
          <w:szCs w:val="22"/>
        </w:rPr>
        <w:tab/>
      </w:r>
      <w:r>
        <w:rPr>
          <w:rStyle w:val="44"/>
          <w:rFonts w:hint="eastAsia"/>
        </w:rPr>
        <w:t>评选方法</w:t>
      </w:r>
      <w:r>
        <w:tab/>
      </w:r>
      <w:r>
        <w:fldChar w:fldCharType="begin"/>
      </w:r>
      <w:r>
        <w:instrText xml:space="preserve"> PAGEREF _Toc12017947 \h </w:instrText>
      </w:r>
      <w:r>
        <w:fldChar w:fldCharType="separate"/>
      </w:r>
      <w:r>
        <w:t>21</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"_Toc12017948" </w:instrText>
      </w:r>
      <w:r>
        <w:fldChar w:fldCharType="separate"/>
      </w:r>
      <w:r>
        <w:rPr>
          <w:rStyle w:val="44"/>
        </w:rPr>
        <w:t>2.</w:t>
      </w:r>
      <w:r>
        <w:rPr>
          <w:rFonts w:asciiTheme="minorHAnsi" w:hAnsiTheme="minorHAnsi" w:eastAsiaTheme="minorEastAsia" w:cstheme="minorBidi"/>
          <w:szCs w:val="22"/>
        </w:rPr>
        <w:tab/>
      </w:r>
      <w:r>
        <w:rPr>
          <w:rStyle w:val="44"/>
          <w:rFonts w:hint="eastAsia"/>
        </w:rPr>
        <w:t>评选程序</w:t>
      </w:r>
      <w:r>
        <w:tab/>
      </w:r>
      <w:r>
        <w:fldChar w:fldCharType="begin"/>
      </w:r>
      <w:r>
        <w:instrText xml:space="preserve"> PAGEREF _Toc12017948 \h </w:instrText>
      </w:r>
      <w:r>
        <w:fldChar w:fldCharType="separate"/>
      </w:r>
      <w:r>
        <w:t>21</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"_Toc12017949" </w:instrText>
      </w:r>
      <w:r>
        <w:fldChar w:fldCharType="separate"/>
      </w:r>
      <w:r>
        <w:rPr>
          <w:rStyle w:val="44"/>
        </w:rPr>
        <w:t>2.1</w:t>
      </w:r>
      <w:r>
        <w:rPr>
          <w:rStyle w:val="44"/>
          <w:rFonts w:hint="eastAsia"/>
        </w:rPr>
        <w:t>详细评审</w:t>
      </w:r>
      <w:r>
        <w:tab/>
      </w:r>
      <w:r>
        <w:fldChar w:fldCharType="begin"/>
      </w:r>
      <w:r>
        <w:instrText xml:space="preserve"> PAGEREF _Toc12017949 \h </w:instrText>
      </w:r>
      <w:r>
        <w:fldChar w:fldCharType="separate"/>
      </w:r>
      <w:r>
        <w:t>21</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"_Toc12017950" </w:instrText>
      </w:r>
      <w:r>
        <w:fldChar w:fldCharType="separate"/>
      </w:r>
      <w:r>
        <w:rPr>
          <w:rStyle w:val="44"/>
        </w:rPr>
        <w:t>2.2</w:t>
      </w:r>
      <w:r>
        <w:rPr>
          <w:rStyle w:val="44"/>
          <w:rFonts w:hint="eastAsia"/>
        </w:rPr>
        <w:t>中选候选人推荐原则</w:t>
      </w:r>
      <w:r>
        <w:tab/>
      </w:r>
      <w:r>
        <w:fldChar w:fldCharType="begin"/>
      </w:r>
      <w:r>
        <w:instrText xml:space="preserve"> PAGEREF _Toc12017950 \h </w:instrText>
      </w:r>
      <w:r>
        <w:fldChar w:fldCharType="separate"/>
      </w:r>
      <w:r>
        <w:t>21</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"_Toc12017951" </w:instrText>
      </w:r>
      <w:r>
        <w:fldChar w:fldCharType="separate"/>
      </w:r>
      <w:r>
        <w:rPr>
          <w:rStyle w:val="44"/>
        </w:rPr>
        <w:t>2.3</w:t>
      </w:r>
      <w:r>
        <w:rPr>
          <w:rStyle w:val="44"/>
          <w:rFonts w:hint="eastAsia"/>
        </w:rPr>
        <w:t>评选结果</w:t>
      </w:r>
      <w:r>
        <w:tab/>
      </w:r>
      <w:r>
        <w:fldChar w:fldCharType="begin"/>
      </w:r>
      <w:r>
        <w:instrText xml:space="preserve"> PAGEREF _Toc12017951 \h </w:instrText>
      </w:r>
      <w:r>
        <w:fldChar w:fldCharType="separate"/>
      </w:r>
      <w:r>
        <w:t>21</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"_Toc12017952" </w:instrText>
      </w:r>
      <w:r>
        <w:fldChar w:fldCharType="separate"/>
      </w:r>
      <w:r>
        <w:rPr>
          <w:rStyle w:val="44"/>
          <w:rFonts w:hint="eastAsia" w:cs="宋体"/>
          <w:b/>
          <w:kern w:val="0"/>
        </w:rPr>
        <w:t>第四章【合同签订与验收付款】</w:t>
      </w:r>
      <w:r>
        <w:tab/>
      </w:r>
      <w:r>
        <w:fldChar w:fldCharType="begin"/>
      </w:r>
      <w:r>
        <w:instrText xml:space="preserve"> PAGEREF _Toc12017952 \h </w:instrText>
      </w:r>
      <w:r>
        <w:fldChar w:fldCharType="separate"/>
      </w:r>
      <w:r>
        <w:t>23</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"_Toc12017953" </w:instrText>
      </w:r>
      <w:r>
        <w:fldChar w:fldCharType="separate"/>
      </w:r>
      <w:r>
        <w:rPr>
          <w:rStyle w:val="44"/>
          <w:rFonts w:hint="eastAsia" w:cs="宋体"/>
          <w:b/>
          <w:kern w:val="0"/>
        </w:rPr>
        <w:t>付款方式</w:t>
      </w:r>
      <w:r>
        <w:tab/>
      </w:r>
      <w:r>
        <w:fldChar w:fldCharType="begin"/>
      </w:r>
      <w:r>
        <w:instrText xml:space="preserve"> PAGEREF _Toc12017953 \h </w:instrText>
      </w:r>
      <w:r>
        <w:fldChar w:fldCharType="separate"/>
      </w:r>
      <w:r>
        <w:t>23</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"_Toc12017954" </w:instrText>
      </w:r>
      <w:r>
        <w:fldChar w:fldCharType="separate"/>
      </w:r>
      <w:r>
        <w:rPr>
          <w:rStyle w:val="44"/>
          <w:rFonts w:hint="eastAsia" w:cs="宋体"/>
          <w:b/>
          <w:kern w:val="0"/>
        </w:rPr>
        <w:t>第五章【技术标准和要求及产品内容】</w:t>
      </w:r>
      <w:r>
        <w:tab/>
      </w:r>
      <w:r>
        <w:fldChar w:fldCharType="begin"/>
      </w:r>
      <w:r>
        <w:instrText xml:space="preserve"> PAGEREF _Toc12017954 \h </w:instrText>
      </w:r>
      <w:r>
        <w:fldChar w:fldCharType="separate"/>
      </w:r>
      <w:r>
        <w:t>24</w:t>
      </w:r>
      <w:r>
        <w:fldChar w:fldCharType="end"/>
      </w:r>
      <w:r>
        <w:fldChar w:fldCharType="end"/>
      </w:r>
    </w:p>
    <w:p>
      <w:pPr>
        <w:pStyle w:val="33"/>
        <w:rPr>
          <w:rFonts w:asciiTheme="minorHAnsi" w:hAnsiTheme="minorHAnsi" w:eastAsiaTheme="minorEastAsia" w:cstheme="minorBidi"/>
          <w:szCs w:val="22"/>
        </w:rPr>
      </w:pPr>
      <w:r>
        <w:fldChar w:fldCharType="begin"/>
      </w:r>
      <w:r>
        <w:instrText xml:space="preserve"> HYPERLINK \l "_Toc12017955" </w:instrText>
      </w:r>
      <w:r>
        <w:fldChar w:fldCharType="separate"/>
      </w:r>
      <w:r>
        <w:rPr>
          <w:rStyle w:val="44"/>
          <w:rFonts w:cs="仿宋_GB2312" w:asciiTheme="majorEastAsia" w:hAnsiTheme="majorEastAsia" w:eastAsiaTheme="majorEastAsia"/>
          <w:b/>
          <w:bCs/>
        </w:rPr>
        <w:t>1</w:t>
      </w:r>
      <w:r>
        <w:rPr>
          <w:rStyle w:val="44"/>
          <w:rFonts w:hint="eastAsia" w:cs="仿宋_GB2312" w:asciiTheme="majorEastAsia" w:hAnsiTheme="majorEastAsia" w:eastAsiaTheme="majorEastAsia"/>
          <w:b/>
          <w:bCs/>
        </w:rPr>
        <w:t>、</w:t>
      </w:r>
      <w:r>
        <w:rPr>
          <w:rStyle w:val="44"/>
          <w:rFonts w:cs="仿宋_GB2312" w:asciiTheme="majorEastAsia" w:hAnsiTheme="majorEastAsia" w:eastAsiaTheme="majorEastAsia"/>
          <w:b/>
          <w:bCs/>
        </w:rPr>
        <w:t>IP</w:t>
      </w:r>
      <w:r>
        <w:rPr>
          <w:rStyle w:val="44"/>
          <w:rFonts w:hint="eastAsia" w:cs="仿宋_GB2312" w:asciiTheme="majorEastAsia" w:hAnsiTheme="majorEastAsia" w:eastAsiaTheme="majorEastAsia"/>
          <w:b/>
          <w:bCs/>
        </w:rPr>
        <w:t>网络核心广播主机</w:t>
      </w:r>
      <w:r>
        <w:tab/>
      </w:r>
      <w:r>
        <w:fldChar w:fldCharType="begin"/>
      </w:r>
      <w:r>
        <w:instrText xml:space="preserve"> PAGEREF _Toc12017955 \h </w:instrText>
      </w:r>
      <w:r>
        <w:fldChar w:fldCharType="separate"/>
      </w:r>
      <w:r>
        <w:t>24</w:t>
      </w:r>
      <w:r>
        <w:fldChar w:fldCharType="end"/>
      </w:r>
      <w:r>
        <w:fldChar w:fldCharType="end"/>
      </w:r>
    </w:p>
    <w:p>
      <w:pPr>
        <w:pStyle w:val="33"/>
        <w:rPr>
          <w:rFonts w:asciiTheme="minorHAnsi" w:hAnsiTheme="minorHAnsi" w:eastAsiaTheme="minorEastAsia" w:cstheme="minorBidi"/>
          <w:szCs w:val="22"/>
        </w:rPr>
      </w:pPr>
      <w:r>
        <w:fldChar w:fldCharType="begin"/>
      </w:r>
      <w:r>
        <w:instrText xml:space="preserve"> HYPERLINK \l "_Toc12017956" </w:instrText>
      </w:r>
      <w:r>
        <w:fldChar w:fldCharType="separate"/>
      </w:r>
      <w:r>
        <w:rPr>
          <w:rStyle w:val="44"/>
          <w:rFonts w:cs="仿宋_GB2312" w:asciiTheme="majorEastAsia" w:hAnsiTheme="majorEastAsia" w:eastAsiaTheme="majorEastAsia"/>
          <w:b/>
          <w:bCs/>
        </w:rPr>
        <w:t>2</w:t>
      </w:r>
      <w:r>
        <w:rPr>
          <w:rStyle w:val="44"/>
          <w:rFonts w:hint="eastAsia" w:cs="仿宋_GB2312" w:asciiTheme="majorEastAsia" w:hAnsiTheme="majorEastAsia" w:eastAsiaTheme="majorEastAsia"/>
          <w:b/>
          <w:bCs/>
        </w:rPr>
        <w:t>、智能检票通道闸机</w:t>
      </w:r>
      <w:r>
        <w:tab/>
      </w:r>
      <w:r>
        <w:fldChar w:fldCharType="begin"/>
      </w:r>
      <w:r>
        <w:instrText xml:space="preserve"> PAGEREF _Toc12017956 \h </w:instrText>
      </w:r>
      <w:r>
        <w:fldChar w:fldCharType="separate"/>
      </w:r>
      <w:r>
        <w:t>26</w:t>
      </w:r>
      <w:r>
        <w:fldChar w:fldCharType="end"/>
      </w:r>
      <w:r>
        <w:fldChar w:fldCharType="end"/>
      </w:r>
    </w:p>
    <w:p>
      <w:pPr>
        <w:pStyle w:val="33"/>
        <w:rPr>
          <w:rFonts w:asciiTheme="minorHAnsi" w:hAnsiTheme="minorHAnsi" w:eastAsiaTheme="minorEastAsia" w:cstheme="minorBidi"/>
          <w:szCs w:val="22"/>
        </w:rPr>
      </w:pPr>
      <w:r>
        <w:fldChar w:fldCharType="begin"/>
      </w:r>
      <w:r>
        <w:instrText xml:space="preserve"> HYPERLINK \l "_Toc12017957" </w:instrText>
      </w:r>
      <w:r>
        <w:fldChar w:fldCharType="separate"/>
      </w:r>
      <w:r>
        <w:rPr>
          <w:rStyle w:val="44"/>
          <w:rFonts w:cs="仿宋_GB2312" w:asciiTheme="majorEastAsia" w:hAnsiTheme="majorEastAsia" w:eastAsiaTheme="majorEastAsia"/>
          <w:b/>
          <w:bCs/>
        </w:rPr>
        <w:t>3</w:t>
      </w:r>
      <w:r>
        <w:rPr>
          <w:rStyle w:val="44"/>
          <w:rFonts w:hint="eastAsia" w:cs="仿宋_GB2312" w:asciiTheme="majorEastAsia" w:hAnsiTheme="majorEastAsia" w:eastAsiaTheme="majorEastAsia"/>
          <w:b/>
          <w:bCs/>
        </w:rPr>
        <w:t>、多媒体报警柱</w:t>
      </w:r>
      <w:r>
        <w:tab/>
      </w:r>
      <w:r>
        <w:fldChar w:fldCharType="begin"/>
      </w:r>
      <w:r>
        <w:instrText xml:space="preserve"> PAGEREF _Toc12017957 \h </w:instrText>
      </w:r>
      <w:r>
        <w:fldChar w:fldCharType="separate"/>
      </w:r>
      <w:r>
        <w:t>27</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"_Toc12017958" </w:instrText>
      </w:r>
      <w:r>
        <w:fldChar w:fldCharType="separate"/>
      </w:r>
      <w:r>
        <w:rPr>
          <w:rStyle w:val="44"/>
          <w:rFonts w:hint="eastAsia" w:cs="宋体"/>
          <w:b/>
          <w:kern w:val="0"/>
        </w:rPr>
        <w:t>第六章 投标文件格式</w:t>
      </w:r>
      <w:r>
        <w:tab/>
      </w:r>
      <w:r>
        <w:fldChar w:fldCharType="begin"/>
      </w:r>
      <w:r>
        <w:instrText xml:space="preserve"> PAGEREF _Toc12017958 \h </w:instrText>
      </w:r>
      <w:r>
        <w:fldChar w:fldCharType="separate"/>
      </w:r>
      <w:r>
        <w:t>38</w:t>
      </w:r>
      <w:r>
        <w:fldChar w:fldCharType="end"/>
      </w:r>
      <w:r>
        <w:fldChar w:fldCharType="end"/>
      </w:r>
    </w:p>
    <w:p>
      <w:pPr>
        <w:pStyle w:val="33"/>
        <w:rPr>
          <w:rFonts w:asciiTheme="minorHAnsi" w:hAnsiTheme="minorHAnsi" w:eastAsiaTheme="minorEastAsia" w:cstheme="minorBidi"/>
          <w:szCs w:val="22"/>
        </w:rPr>
      </w:pPr>
      <w:r>
        <w:fldChar w:fldCharType="begin"/>
      </w:r>
      <w:r>
        <w:instrText xml:space="preserve"> HYPERLINK \l "_Toc12017959" </w:instrText>
      </w:r>
      <w:r>
        <w:fldChar w:fldCharType="separate"/>
      </w:r>
      <w:r>
        <w:rPr>
          <w:rStyle w:val="44"/>
          <w:rFonts w:hint="eastAsia" w:ascii="宋体" w:hAnsi="宋体"/>
          <w:b/>
          <w:bCs/>
        </w:rPr>
        <w:t>目</w:t>
      </w:r>
      <w:r>
        <w:rPr>
          <w:rStyle w:val="44"/>
          <w:rFonts w:ascii="宋体" w:hAnsi="宋体"/>
          <w:b/>
          <w:bCs/>
        </w:rPr>
        <w:t xml:space="preserve">  </w:t>
      </w:r>
      <w:r>
        <w:rPr>
          <w:rStyle w:val="44"/>
          <w:rFonts w:hint="eastAsia" w:ascii="宋体" w:hAnsi="宋体"/>
          <w:b/>
          <w:bCs/>
        </w:rPr>
        <w:t>录</w:t>
      </w:r>
      <w:r>
        <w:tab/>
      </w:r>
      <w:r>
        <w:fldChar w:fldCharType="begin"/>
      </w:r>
      <w:r>
        <w:instrText xml:space="preserve"> PAGEREF _Toc12017959 \h </w:instrText>
      </w:r>
      <w:r>
        <w:fldChar w:fldCharType="separate"/>
      </w:r>
      <w:r>
        <w:t>39</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"_Toc12017960" </w:instrText>
      </w:r>
      <w:r>
        <w:fldChar w:fldCharType="separate"/>
      </w:r>
      <w:r>
        <w:rPr>
          <w:rStyle w:val="44"/>
        </w:rPr>
        <w:t>1.</w:t>
      </w:r>
      <w:r>
        <w:rPr>
          <w:rFonts w:asciiTheme="minorHAnsi" w:hAnsiTheme="minorHAnsi" w:eastAsiaTheme="minorEastAsia" w:cstheme="minorBidi"/>
          <w:szCs w:val="22"/>
        </w:rPr>
        <w:tab/>
      </w:r>
      <w:r>
        <w:rPr>
          <w:rStyle w:val="44"/>
          <w:rFonts w:hint="eastAsia"/>
        </w:rPr>
        <w:t>专用印章授权函（如有，没有可不填）</w:t>
      </w:r>
      <w:r>
        <w:tab/>
      </w:r>
      <w:r>
        <w:fldChar w:fldCharType="begin"/>
      </w:r>
      <w:r>
        <w:instrText xml:space="preserve"> PAGEREF _Toc12017960 \h </w:instrText>
      </w:r>
      <w:r>
        <w:fldChar w:fldCharType="separate"/>
      </w:r>
      <w:r>
        <w:t>40</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"_Toc12017961" </w:instrText>
      </w:r>
      <w:r>
        <w:fldChar w:fldCharType="separate"/>
      </w:r>
      <w:r>
        <w:rPr>
          <w:rStyle w:val="44"/>
        </w:rPr>
        <w:t>2.</w:t>
      </w:r>
      <w:r>
        <w:rPr>
          <w:rFonts w:asciiTheme="minorHAnsi" w:hAnsiTheme="minorHAnsi" w:eastAsiaTheme="minorEastAsia" w:cstheme="minorBidi"/>
          <w:szCs w:val="22"/>
        </w:rPr>
        <w:tab/>
      </w:r>
      <w:r>
        <w:rPr>
          <w:rStyle w:val="44"/>
          <w:rFonts w:hint="eastAsia"/>
        </w:rPr>
        <w:t>投标函</w:t>
      </w:r>
      <w:r>
        <w:tab/>
      </w:r>
      <w:r>
        <w:fldChar w:fldCharType="begin"/>
      </w:r>
      <w:r>
        <w:instrText xml:space="preserve"> PAGEREF _Toc12017961 \h </w:instrText>
      </w:r>
      <w:r>
        <w:fldChar w:fldCharType="separate"/>
      </w:r>
      <w:r>
        <w:t>41</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"_Toc12017962" </w:instrText>
      </w:r>
      <w:r>
        <w:fldChar w:fldCharType="separate"/>
      </w:r>
      <w:r>
        <w:rPr>
          <w:rStyle w:val="44"/>
        </w:rPr>
        <w:t>3.</w:t>
      </w:r>
      <w:r>
        <w:rPr>
          <w:rFonts w:asciiTheme="minorHAnsi" w:hAnsiTheme="minorHAnsi" w:eastAsiaTheme="minorEastAsia" w:cstheme="minorBidi"/>
          <w:szCs w:val="22"/>
        </w:rPr>
        <w:tab/>
      </w:r>
      <w:r>
        <w:rPr>
          <w:rStyle w:val="44"/>
          <w:rFonts w:hint="eastAsia"/>
        </w:rPr>
        <w:t>法定代表人（负责人）身份证明</w:t>
      </w:r>
      <w:r>
        <w:tab/>
      </w:r>
      <w:r>
        <w:fldChar w:fldCharType="begin"/>
      </w:r>
      <w:r>
        <w:instrText xml:space="preserve"> PAGEREF _Toc12017962 \h </w:instrText>
      </w:r>
      <w:r>
        <w:fldChar w:fldCharType="separate"/>
      </w:r>
      <w:r>
        <w:t>42</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"_Toc12017963" </w:instrText>
      </w:r>
      <w:r>
        <w:fldChar w:fldCharType="separate"/>
      </w:r>
      <w:r>
        <w:rPr>
          <w:rStyle w:val="44"/>
        </w:rPr>
        <w:t>4.</w:t>
      </w:r>
      <w:r>
        <w:rPr>
          <w:rFonts w:asciiTheme="minorHAnsi" w:hAnsiTheme="minorHAnsi" w:eastAsiaTheme="minorEastAsia" w:cstheme="minorBidi"/>
          <w:szCs w:val="22"/>
        </w:rPr>
        <w:tab/>
      </w:r>
      <w:r>
        <w:rPr>
          <w:rStyle w:val="44"/>
          <w:rFonts w:hint="eastAsia"/>
        </w:rPr>
        <w:t>法定代表人（负责人）授权委托书</w:t>
      </w:r>
      <w:r>
        <w:tab/>
      </w:r>
      <w:r>
        <w:fldChar w:fldCharType="begin"/>
      </w:r>
      <w:r>
        <w:instrText xml:space="preserve"> PAGEREF _Toc12017963 \h </w:instrText>
      </w:r>
      <w:r>
        <w:fldChar w:fldCharType="separate"/>
      </w:r>
      <w:r>
        <w:t>43</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"_Toc12017964" </w:instrText>
      </w:r>
      <w:r>
        <w:fldChar w:fldCharType="separate"/>
      </w:r>
      <w:r>
        <w:rPr>
          <w:rStyle w:val="44"/>
        </w:rPr>
        <w:t>5.</w:t>
      </w:r>
      <w:r>
        <w:rPr>
          <w:rFonts w:asciiTheme="minorHAnsi" w:hAnsiTheme="minorHAnsi" w:eastAsiaTheme="minorEastAsia" w:cstheme="minorBidi"/>
          <w:szCs w:val="22"/>
        </w:rPr>
        <w:tab/>
      </w:r>
      <w:r>
        <w:rPr>
          <w:rStyle w:val="44"/>
          <w:rFonts w:hint="eastAsia"/>
        </w:rPr>
        <w:t>廉洁投标承诺书</w:t>
      </w:r>
      <w:r>
        <w:tab/>
      </w:r>
      <w:r>
        <w:fldChar w:fldCharType="begin"/>
      </w:r>
      <w:r>
        <w:instrText xml:space="preserve"> PAGEREF _Toc12017964 \h </w:instrText>
      </w:r>
      <w:r>
        <w:fldChar w:fldCharType="separate"/>
      </w:r>
      <w:r>
        <w:t>44</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"_Toc12017965" </w:instrText>
      </w:r>
      <w:r>
        <w:fldChar w:fldCharType="separate"/>
      </w:r>
      <w:r>
        <w:rPr>
          <w:rStyle w:val="44"/>
        </w:rPr>
        <w:t>6.</w:t>
      </w:r>
      <w:r>
        <w:rPr>
          <w:rFonts w:asciiTheme="minorHAnsi" w:hAnsiTheme="minorHAnsi" w:eastAsiaTheme="minorEastAsia" w:cstheme="minorBidi"/>
          <w:szCs w:val="22"/>
        </w:rPr>
        <w:tab/>
      </w:r>
      <w:r>
        <w:rPr>
          <w:rStyle w:val="44"/>
          <w:rFonts w:hint="eastAsia"/>
        </w:rPr>
        <w:t>商务规范书偏离表</w:t>
      </w:r>
      <w:r>
        <w:tab/>
      </w:r>
      <w:r>
        <w:fldChar w:fldCharType="begin"/>
      </w:r>
      <w:r>
        <w:instrText xml:space="preserve"> PAGEREF _Toc12017965 \h </w:instrText>
      </w:r>
      <w:r>
        <w:fldChar w:fldCharType="separate"/>
      </w:r>
      <w:r>
        <w:t>45</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"_Toc12017966" </w:instrText>
      </w:r>
      <w:r>
        <w:fldChar w:fldCharType="separate"/>
      </w:r>
      <w:r>
        <w:rPr>
          <w:rStyle w:val="44"/>
        </w:rPr>
        <w:t>7.</w:t>
      </w:r>
      <w:r>
        <w:rPr>
          <w:rFonts w:asciiTheme="minorHAnsi" w:hAnsiTheme="minorHAnsi" w:eastAsiaTheme="minorEastAsia" w:cstheme="minorBidi"/>
          <w:szCs w:val="22"/>
        </w:rPr>
        <w:tab/>
      </w:r>
      <w:r>
        <w:rPr>
          <w:rStyle w:val="44"/>
          <w:rFonts w:hint="eastAsia"/>
        </w:rPr>
        <w:t>技术规范书偏离表</w:t>
      </w:r>
      <w:r>
        <w:tab/>
      </w:r>
      <w:r>
        <w:fldChar w:fldCharType="begin"/>
      </w:r>
      <w:r>
        <w:instrText xml:space="preserve"> PAGEREF _Toc12017966 \h </w:instrText>
      </w:r>
      <w:r>
        <w:fldChar w:fldCharType="separate"/>
      </w:r>
      <w:r>
        <w:t>46</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"_Toc12017967" </w:instrText>
      </w:r>
      <w:r>
        <w:fldChar w:fldCharType="separate"/>
      </w:r>
      <w:r>
        <w:rPr>
          <w:rStyle w:val="44"/>
        </w:rPr>
        <w:t>8.</w:t>
      </w:r>
      <w:r>
        <w:rPr>
          <w:rFonts w:asciiTheme="minorHAnsi" w:hAnsiTheme="minorHAnsi" w:eastAsiaTheme="minorEastAsia" w:cstheme="minorBidi"/>
          <w:szCs w:val="22"/>
        </w:rPr>
        <w:tab/>
      </w:r>
      <w:r>
        <w:rPr>
          <w:rStyle w:val="44"/>
          <w:rFonts w:hint="eastAsia"/>
        </w:rPr>
        <w:t>承诺书</w:t>
      </w:r>
      <w:r>
        <w:tab/>
      </w:r>
      <w:r>
        <w:fldChar w:fldCharType="begin"/>
      </w:r>
      <w:r>
        <w:instrText xml:space="preserve"> PAGEREF _Toc12017967 \h </w:instrText>
      </w:r>
      <w:r>
        <w:fldChar w:fldCharType="separate"/>
      </w:r>
      <w:r>
        <w:t>47</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"_Toc12017968" </w:instrText>
      </w:r>
      <w:r>
        <w:fldChar w:fldCharType="separate"/>
      </w:r>
      <w:r>
        <w:rPr>
          <w:rStyle w:val="44"/>
        </w:rPr>
        <w:t>9.</w:t>
      </w:r>
      <w:r>
        <w:rPr>
          <w:rFonts w:asciiTheme="minorHAnsi" w:hAnsiTheme="minorHAnsi" w:eastAsiaTheme="minorEastAsia" w:cstheme="minorBidi"/>
          <w:szCs w:val="22"/>
        </w:rPr>
        <w:tab/>
      </w:r>
      <w:r>
        <w:rPr>
          <w:rStyle w:val="44"/>
          <w:rFonts w:hint="eastAsia"/>
        </w:rPr>
        <w:t>商务技术证明文件</w:t>
      </w:r>
      <w:r>
        <w:tab/>
      </w:r>
      <w:r>
        <w:fldChar w:fldCharType="begin"/>
      </w:r>
      <w:r>
        <w:instrText xml:space="preserve"> PAGEREF _Toc12017968 \h </w:instrText>
      </w:r>
      <w:r>
        <w:fldChar w:fldCharType="separate"/>
      </w:r>
      <w:r>
        <w:t>48</w:t>
      </w:r>
      <w:r>
        <w:fldChar w:fldCharType="end"/>
      </w:r>
      <w:r>
        <w:fldChar w:fldCharType="end"/>
      </w:r>
    </w:p>
    <w:p>
      <w:pPr>
        <w:spacing w:after="120" w:line="360" w:lineRule="atLeast"/>
        <w:rPr>
          <w:rFonts w:asciiTheme="minorEastAsia" w:hAnsiTheme="minorEastAsia" w:eastAsiaTheme="minorEastAsia" w:cstheme="minorEastAsia"/>
          <w:sz w:val="18"/>
          <w:szCs w:val="18"/>
        </w:rPr>
        <w:sectPr>
          <w:footerReference r:id="rId6" w:type="default"/>
          <w:pgSz w:w="11906" w:h="16838"/>
          <w:pgMar w:top="1440" w:right="1701" w:bottom="1440" w:left="1701" w:header="851" w:footer="992" w:gutter="0"/>
          <w:pgNumType w:start="1"/>
          <w:cols w:space="720" w:num="1"/>
          <w:docGrid w:type="linesAndChars" w:linePitch="380" w:charSpace="0"/>
        </w:sectPr>
      </w:pPr>
      <w:r>
        <w:rPr>
          <w:rFonts w:hint="eastAsia" w:asciiTheme="minorEastAsia" w:hAnsiTheme="minorEastAsia" w:eastAsiaTheme="minorEastAsia" w:cstheme="minorEastAsia"/>
          <w:szCs w:val="18"/>
        </w:rPr>
        <w:fldChar w:fldCharType="end"/>
      </w:r>
    </w:p>
    <w:p>
      <w:pPr>
        <w:pStyle w:val="46"/>
        <w:spacing w:before="240" w:after="120"/>
        <w:rPr>
          <w:rFonts w:ascii="宋体" w:hAnsi="宋体" w:eastAsia="宋体" w:cs="宋体"/>
          <w:b/>
          <w:bCs w:val="0"/>
          <w:kern w:val="0"/>
          <w:sz w:val="28"/>
          <w:szCs w:val="28"/>
        </w:rPr>
      </w:pPr>
      <w:bookmarkStart w:id="0" w:name="_Toc447265211"/>
      <w:bookmarkStart w:id="1" w:name="_Toc447265497"/>
      <w:bookmarkStart w:id="2" w:name="_Toc447265797"/>
      <w:bookmarkStart w:id="3" w:name="_Toc12017900"/>
      <w:bookmarkStart w:id="4" w:name="_Toc447188662"/>
      <w:r>
        <w:rPr>
          <w:rFonts w:hint="eastAsia" w:ascii="宋体" w:hAnsi="宋体" w:eastAsia="宋体" w:cs="宋体"/>
          <w:b/>
          <w:bCs w:val="0"/>
          <w:kern w:val="0"/>
          <w:sz w:val="28"/>
          <w:szCs w:val="28"/>
        </w:rPr>
        <w:t>第一章  招标公告</w:t>
      </w:r>
      <w:bookmarkEnd w:id="0"/>
      <w:bookmarkEnd w:id="1"/>
      <w:bookmarkEnd w:id="2"/>
      <w:bookmarkEnd w:id="3"/>
      <w:bookmarkEnd w:id="4"/>
    </w:p>
    <w:p>
      <w:pPr>
        <w:adjustRightInd w:val="0"/>
        <w:snapToGrid w:val="0"/>
        <w:spacing w:line="440" w:lineRule="exact"/>
        <w:ind w:firstLine="420" w:firstLineChars="200"/>
        <w:rPr>
          <w:rFonts w:ascii="宋体" w:hAnsi="宋体"/>
          <w:szCs w:val="21"/>
        </w:rPr>
      </w:pPr>
      <w:r>
        <w:rPr>
          <w:rFonts w:hint="eastAsia" w:ascii="宋体" w:hAnsi="宋体"/>
          <w:szCs w:val="21"/>
        </w:rPr>
        <w:t>本招标项目为</w:t>
      </w:r>
      <w:r>
        <w:rPr>
          <w:rFonts w:hint="eastAsia" w:ascii="宋体" w:hAnsi="宋体"/>
          <w:szCs w:val="21"/>
          <w:u w:val="single"/>
        </w:rPr>
        <w:t>智慧旅游后端硬件系统项目</w:t>
      </w:r>
      <w:r>
        <w:rPr>
          <w:rFonts w:hint="eastAsia" w:ascii="宋体" w:hAnsi="宋体"/>
          <w:szCs w:val="21"/>
        </w:rPr>
        <w:t>，招标人为</w:t>
      </w:r>
      <w:r>
        <w:rPr>
          <w:rFonts w:hint="eastAsia" w:ascii="宋体" w:hAnsi="宋体"/>
          <w:szCs w:val="21"/>
          <w:u w:val="single"/>
        </w:rPr>
        <w:t>南通市大数据发展集团有限公司</w:t>
      </w:r>
      <w:r>
        <w:rPr>
          <w:rFonts w:hint="eastAsia" w:ascii="宋体" w:hAnsi="宋体"/>
          <w:szCs w:val="21"/>
        </w:rPr>
        <w:t>，项目具备招标条件，现进行公开招标，特邀请有意向的且具有提供标的物能力的潜在投标人（以下简称投标人）投标。</w:t>
      </w:r>
    </w:p>
    <w:p>
      <w:pPr>
        <w:pStyle w:val="47"/>
        <w:numPr>
          <w:ilvl w:val="0"/>
          <w:numId w:val="2"/>
        </w:numPr>
        <w:adjustRightInd w:val="0"/>
        <w:snapToGrid w:val="0"/>
        <w:spacing w:line="440" w:lineRule="exact"/>
        <w:ind w:firstLineChars="0"/>
        <w:rPr>
          <w:rFonts w:ascii="宋体" w:hAnsi="宋体"/>
          <w:b/>
          <w:szCs w:val="21"/>
        </w:rPr>
      </w:pPr>
      <w:r>
        <w:rPr>
          <w:rFonts w:hint="eastAsia" w:ascii="宋体" w:hAnsi="宋体"/>
          <w:b/>
          <w:szCs w:val="21"/>
        </w:rPr>
        <w:t>项目概况与采购内容</w:t>
      </w:r>
    </w:p>
    <w:p>
      <w:pPr>
        <w:pStyle w:val="47"/>
        <w:adjustRightInd w:val="0"/>
        <w:snapToGrid w:val="0"/>
        <w:spacing w:line="440" w:lineRule="exact"/>
        <w:ind w:firstLineChars="0"/>
        <w:rPr>
          <w:rFonts w:ascii="宋体" w:hAnsi="宋体"/>
          <w:szCs w:val="21"/>
        </w:rPr>
      </w:pPr>
      <w:r>
        <w:rPr>
          <w:rFonts w:hint="eastAsia" w:ascii="宋体" w:hAnsi="宋体"/>
          <w:szCs w:val="21"/>
        </w:rPr>
        <w:t>1.1项目需求：本项目包括信息发布系统、广播系统、闸机系统、综合管网系统等。包含本项目的全部设备、主辅材的供应（含采购、运输、储存、保管等），成品保护直至交付招标人使用全过程的所有工作。</w:t>
      </w:r>
    </w:p>
    <w:p>
      <w:pPr>
        <w:pStyle w:val="47"/>
        <w:adjustRightInd w:val="0"/>
        <w:snapToGrid w:val="0"/>
        <w:spacing w:line="440" w:lineRule="exact"/>
        <w:ind w:firstLineChars="0"/>
        <w:rPr>
          <w:rFonts w:ascii="宋体" w:hAnsi="宋体"/>
          <w:szCs w:val="21"/>
        </w:rPr>
      </w:pPr>
      <w:bookmarkStart w:id="5" w:name="_Toc319394714"/>
      <w:bookmarkStart w:id="6" w:name="_Toc184704555"/>
      <w:bookmarkStart w:id="7" w:name="_Toc319769473"/>
      <w:r>
        <w:rPr>
          <w:rFonts w:hint="eastAsia" w:ascii="宋体" w:hAnsi="宋体"/>
          <w:szCs w:val="21"/>
        </w:rPr>
        <w:t>1.2本项目【</w:t>
      </w:r>
      <w:r>
        <w:rPr>
          <w:rFonts w:ascii="宋体" w:hAnsi="宋体"/>
          <w:szCs w:val="21"/>
        </w:rPr>
        <w:t>设置最高</w:t>
      </w:r>
      <w:r>
        <w:rPr>
          <w:rFonts w:hint="eastAsia" w:ascii="宋体" w:hAnsi="宋体"/>
          <w:szCs w:val="21"/>
        </w:rPr>
        <w:t>投标限价，最高投标限价</w:t>
      </w:r>
      <w:r>
        <w:rPr>
          <w:rFonts w:hint="eastAsia" w:ascii="宋体" w:hAnsi="宋体"/>
          <w:szCs w:val="21"/>
          <w:u w:val="single"/>
        </w:rPr>
        <w:t>为</w:t>
      </w:r>
      <w:r>
        <w:rPr>
          <w:rFonts w:hint="eastAsia" w:ascii="宋体" w:hAnsi="宋体"/>
          <w:color w:val="FF0000"/>
          <w:szCs w:val="21"/>
          <w:u w:val="single"/>
        </w:rPr>
        <w:t>63</w:t>
      </w:r>
      <w:r>
        <w:rPr>
          <w:rFonts w:hint="eastAsia" w:ascii="宋体" w:hAnsi="宋体"/>
          <w:color w:val="FF0000"/>
          <w:szCs w:val="21"/>
          <w:u w:val="single"/>
          <w:lang w:val="en-US" w:eastAsia="zh-CN"/>
        </w:rPr>
        <w:t>2</w:t>
      </w:r>
      <w:r>
        <w:rPr>
          <w:rFonts w:hint="eastAsia" w:ascii="宋体" w:hAnsi="宋体"/>
          <w:szCs w:val="21"/>
          <w:u w:val="single"/>
        </w:rPr>
        <w:t>万元</w:t>
      </w:r>
      <w:r>
        <w:rPr>
          <w:rFonts w:hint="eastAsia" w:ascii="宋体" w:hAnsi="宋体"/>
          <w:szCs w:val="21"/>
        </w:rPr>
        <w:t>人民币（含税），投标人投标报价高于最高投标限价的，其投标将被否决】。报价包含本项目设备及配套材料送至甲方指定地点。</w:t>
      </w:r>
    </w:p>
    <w:p>
      <w:pPr>
        <w:snapToGrid w:val="0"/>
        <w:spacing w:line="300" w:lineRule="auto"/>
        <w:ind w:firstLine="420" w:firstLineChars="200"/>
        <w:rPr>
          <w:rFonts w:ascii="宋体" w:hAnsi="宋体"/>
          <w:szCs w:val="21"/>
        </w:rPr>
      </w:pPr>
      <w:r>
        <w:rPr>
          <w:rFonts w:hint="eastAsia" w:ascii="宋体" w:hAnsi="宋体"/>
          <w:szCs w:val="21"/>
        </w:rPr>
        <w:t>1.3质量要求：</w:t>
      </w:r>
      <w:r>
        <w:rPr>
          <w:rFonts w:hint="eastAsia" w:ascii="宋体" w:hAnsi="宋体"/>
          <w:szCs w:val="21"/>
          <w:lang w:val="zh-CN"/>
        </w:rPr>
        <w:t>产品必须是全新、未使用过的原装合格正品，完全符合采购文件规定的质量、规格和性能的要求，达到国家或行业规定的标准，实行生产许可证制度的，应提供生产许可证；属于国家强制认证的产品，必须通过认证。</w:t>
      </w:r>
    </w:p>
    <w:p>
      <w:pPr>
        <w:pStyle w:val="47"/>
        <w:numPr>
          <w:ilvl w:val="0"/>
          <w:numId w:val="2"/>
        </w:numPr>
        <w:adjustRightInd w:val="0"/>
        <w:snapToGrid w:val="0"/>
        <w:spacing w:line="440" w:lineRule="exact"/>
        <w:ind w:firstLineChars="0"/>
        <w:rPr>
          <w:rFonts w:ascii="宋体" w:hAnsi="宋体"/>
          <w:b/>
          <w:szCs w:val="21"/>
        </w:rPr>
      </w:pPr>
      <w:r>
        <w:rPr>
          <w:rFonts w:hint="eastAsia" w:ascii="宋体" w:hAnsi="宋体"/>
          <w:b/>
          <w:szCs w:val="21"/>
        </w:rPr>
        <w:t>投标人资格要求</w:t>
      </w:r>
      <w:bookmarkEnd w:id="5"/>
      <w:bookmarkEnd w:id="6"/>
      <w:bookmarkEnd w:id="7"/>
    </w:p>
    <w:p>
      <w:pPr>
        <w:spacing w:line="440" w:lineRule="exact"/>
        <w:ind w:firstLine="420"/>
        <w:rPr>
          <w:rFonts w:ascii="宋体" w:hAnsi="宋体"/>
          <w:szCs w:val="21"/>
        </w:rPr>
      </w:pPr>
      <w:bookmarkStart w:id="8" w:name="_Toc319769474"/>
      <w:bookmarkStart w:id="9" w:name="_Toc319394715"/>
      <w:bookmarkStart w:id="10" w:name="_Toc184704556"/>
      <w:r>
        <w:rPr>
          <w:rFonts w:hint="eastAsia" w:ascii="宋体" w:hAnsi="宋体"/>
          <w:szCs w:val="21"/>
        </w:rPr>
        <w:t>2.1投标人基本资格要求：</w:t>
      </w:r>
    </w:p>
    <w:p>
      <w:pPr>
        <w:spacing w:line="360" w:lineRule="auto"/>
        <w:ind w:right="104" w:firstLine="420"/>
        <w:jc w:val="left"/>
        <w:rPr>
          <w:rFonts w:ascii="宋体" w:hAnsi="宋体"/>
          <w:szCs w:val="21"/>
        </w:rPr>
      </w:pPr>
      <w:r>
        <w:rPr>
          <w:rFonts w:hint="eastAsia" w:ascii="宋体" w:hAnsi="宋体"/>
          <w:szCs w:val="21"/>
        </w:rPr>
        <w:t>2.1.1投标人须</w:t>
      </w:r>
      <w:r>
        <w:rPr>
          <w:rFonts w:hint="eastAsia" w:ascii="宋体" w:hAnsi="宋体" w:cs="宋体"/>
          <w:szCs w:val="21"/>
        </w:rPr>
        <w:t>为在中华人民共和国境内（不含港澳台地区）注册、法律上和财务上独立的法人或依法成立的其他组织，</w:t>
      </w:r>
      <w:r>
        <w:rPr>
          <w:rFonts w:hint="eastAsia" w:ascii="宋体" w:hAnsi="宋体"/>
          <w:szCs w:val="21"/>
        </w:rPr>
        <w:t>合法运作并独立于招标人。注册资金500万人民币及以上。</w:t>
      </w:r>
    </w:p>
    <w:p>
      <w:pPr>
        <w:spacing w:line="360" w:lineRule="auto"/>
        <w:ind w:right="104" w:firstLine="420"/>
        <w:jc w:val="left"/>
        <w:rPr>
          <w:rFonts w:ascii="宋体" w:hAnsi="宋体" w:cs="宋体"/>
          <w:color w:val="FF0000"/>
          <w:szCs w:val="21"/>
        </w:rPr>
      </w:pPr>
      <w:r>
        <w:rPr>
          <w:rFonts w:hint="eastAsia" w:ascii="宋体" w:hAnsi="宋体" w:cs="宋体"/>
          <w:color w:val="FF0000"/>
          <w:szCs w:val="21"/>
        </w:rPr>
        <w:t>2.1.2投标时须提供厂家针对该项目闸机系统、广播系统、多媒体报警柱产品</w:t>
      </w:r>
      <w:r>
        <w:rPr>
          <w:rFonts w:hint="eastAsia" w:ascii="宋体" w:hAnsi="宋体" w:cs="宋体"/>
          <w:color w:val="FF0000"/>
          <w:szCs w:val="21"/>
          <w:lang w:val="en-US" w:eastAsia="zh-CN"/>
        </w:rPr>
        <w:t>功能符合</w:t>
      </w:r>
      <w:r>
        <w:rPr>
          <w:rFonts w:hint="eastAsia" w:ascii="宋体" w:hAnsi="宋体" w:cs="宋体"/>
          <w:color w:val="FF0000"/>
          <w:szCs w:val="21"/>
        </w:rPr>
        <w:t>偏离表(加盖原厂公章)。</w:t>
      </w:r>
    </w:p>
    <w:p>
      <w:pPr>
        <w:spacing w:line="360" w:lineRule="auto"/>
        <w:ind w:right="104" w:firstLine="420"/>
        <w:jc w:val="left"/>
        <w:rPr>
          <w:rFonts w:ascii="宋体" w:hAnsi="宋体" w:cs="宋体"/>
          <w:szCs w:val="21"/>
        </w:rPr>
      </w:pPr>
      <w:r>
        <w:rPr>
          <w:rFonts w:hint="eastAsia" w:ascii="宋体" w:hAnsi="宋体" w:cs="宋体"/>
          <w:szCs w:val="21"/>
        </w:rPr>
        <w:t>2.1.3投标人具有增值税一般纳税人证明（能开据符合甲方要求的增值税专用发票、须提供一般纳税人章或税务资格认定证书或已开具的增值税专用发票复印件）</w:t>
      </w:r>
    </w:p>
    <w:p>
      <w:pPr>
        <w:pStyle w:val="47"/>
        <w:spacing w:line="440" w:lineRule="exact"/>
        <w:ind w:firstLineChars="0"/>
        <w:rPr>
          <w:rFonts w:ascii="宋体" w:hAnsi="宋体" w:cs="宋体"/>
          <w:szCs w:val="21"/>
        </w:rPr>
      </w:pPr>
      <w:r>
        <w:rPr>
          <w:rFonts w:hint="eastAsia" w:ascii="宋体" w:hAnsi="宋体" w:cs="宋体"/>
          <w:szCs w:val="21"/>
        </w:rPr>
        <w:t>2.1.4投标人需具有良好的银行资信和商业信誉；无处于被责令停业；财产被接管，冻结，破产状态。</w:t>
      </w:r>
    </w:p>
    <w:p>
      <w:pPr>
        <w:spacing w:line="440" w:lineRule="exact"/>
        <w:ind w:firstLine="420"/>
        <w:rPr>
          <w:rFonts w:ascii="宋体" w:hAnsi="宋体"/>
          <w:szCs w:val="21"/>
        </w:rPr>
      </w:pPr>
      <w:r>
        <w:rPr>
          <w:rFonts w:hint="eastAsia" w:ascii="宋体" w:hAnsi="宋体"/>
          <w:szCs w:val="21"/>
        </w:rPr>
        <w:t>2.2投标人不得存在下列情形：</w:t>
      </w:r>
      <w:r>
        <w:rPr>
          <w:rFonts w:hint="eastAsia" w:asciiTheme="minorEastAsia" w:hAnsiTheme="minorEastAsia" w:eastAsiaTheme="minorEastAsia"/>
          <w:szCs w:val="21"/>
          <w:u w:val="single"/>
        </w:rPr>
        <w:t xml:space="preserve"> 本次项目不接受联合体投标</w:t>
      </w:r>
      <w:r>
        <w:rPr>
          <w:rFonts w:hint="eastAsia" w:asciiTheme="minorEastAsia" w:hAnsiTheme="minorEastAsia" w:eastAsiaTheme="minorEastAsia"/>
          <w:szCs w:val="21"/>
        </w:rPr>
        <w:t>。</w:t>
      </w:r>
    </w:p>
    <w:p>
      <w:pPr>
        <w:numPr>
          <w:ilvl w:val="0"/>
          <w:numId w:val="3"/>
        </w:numPr>
        <w:tabs>
          <w:tab w:val="left" w:pos="0"/>
          <w:tab w:val="left" w:pos="993"/>
          <w:tab w:val="clear" w:pos="1142"/>
        </w:tabs>
        <w:spacing w:line="440" w:lineRule="exact"/>
        <w:ind w:left="0" w:firstLine="422"/>
        <w:rPr>
          <w:rFonts w:ascii="宋体" w:hAnsi="宋体"/>
          <w:szCs w:val="21"/>
        </w:rPr>
      </w:pPr>
      <w:r>
        <w:rPr>
          <w:rFonts w:hint="eastAsia" w:ascii="宋体" w:hAnsi="宋体"/>
          <w:szCs w:val="21"/>
        </w:rPr>
        <w:t>为招标人不具有独立法人资格的附属机构（单位）；</w:t>
      </w:r>
    </w:p>
    <w:p>
      <w:pPr>
        <w:numPr>
          <w:ilvl w:val="0"/>
          <w:numId w:val="3"/>
        </w:numPr>
        <w:tabs>
          <w:tab w:val="left" w:pos="0"/>
          <w:tab w:val="left" w:pos="993"/>
          <w:tab w:val="clear" w:pos="1142"/>
        </w:tabs>
        <w:spacing w:line="440" w:lineRule="exact"/>
        <w:ind w:left="0" w:firstLine="422"/>
        <w:rPr>
          <w:rFonts w:ascii="宋体" w:hAnsi="宋体"/>
          <w:szCs w:val="21"/>
        </w:rPr>
      </w:pPr>
      <w:r>
        <w:rPr>
          <w:rFonts w:hint="eastAsia" w:ascii="宋体" w:hAnsi="宋体"/>
          <w:szCs w:val="21"/>
        </w:rPr>
        <w:t>被责令停业或破产状态的；</w:t>
      </w:r>
    </w:p>
    <w:p>
      <w:pPr>
        <w:numPr>
          <w:ilvl w:val="0"/>
          <w:numId w:val="3"/>
        </w:numPr>
        <w:tabs>
          <w:tab w:val="left" w:pos="0"/>
          <w:tab w:val="left" w:pos="993"/>
          <w:tab w:val="clear" w:pos="1142"/>
        </w:tabs>
        <w:spacing w:line="440" w:lineRule="exact"/>
        <w:ind w:left="0" w:firstLine="422"/>
        <w:rPr>
          <w:rFonts w:ascii="宋体" w:hAnsi="宋体"/>
          <w:szCs w:val="21"/>
        </w:rPr>
      </w:pPr>
      <w:r>
        <w:rPr>
          <w:rFonts w:hint="eastAsia" w:ascii="宋体" w:hAnsi="宋体"/>
          <w:szCs w:val="21"/>
        </w:rPr>
        <w:t>被暂停或取消投标资格的；</w:t>
      </w:r>
    </w:p>
    <w:p>
      <w:pPr>
        <w:numPr>
          <w:ilvl w:val="0"/>
          <w:numId w:val="3"/>
        </w:numPr>
        <w:tabs>
          <w:tab w:val="left" w:pos="0"/>
          <w:tab w:val="left" w:pos="993"/>
          <w:tab w:val="clear" w:pos="1142"/>
        </w:tabs>
        <w:spacing w:line="440" w:lineRule="exact"/>
        <w:ind w:left="0" w:firstLine="422"/>
        <w:rPr>
          <w:rFonts w:ascii="宋体" w:hAnsi="宋体"/>
          <w:szCs w:val="21"/>
        </w:rPr>
      </w:pPr>
      <w:r>
        <w:rPr>
          <w:rFonts w:hint="eastAsia" w:ascii="宋体" w:hAnsi="宋体"/>
          <w:szCs w:val="21"/>
        </w:rPr>
        <w:t>财产被重组、接管、查封、扣押或冻结的；</w:t>
      </w:r>
    </w:p>
    <w:p>
      <w:pPr>
        <w:numPr>
          <w:ilvl w:val="0"/>
          <w:numId w:val="3"/>
        </w:numPr>
        <w:tabs>
          <w:tab w:val="left" w:pos="0"/>
          <w:tab w:val="left" w:pos="993"/>
          <w:tab w:val="clear" w:pos="1142"/>
        </w:tabs>
        <w:spacing w:line="440" w:lineRule="exact"/>
        <w:ind w:left="0" w:firstLine="422"/>
        <w:rPr>
          <w:rFonts w:ascii="宋体" w:hAnsi="宋体"/>
          <w:szCs w:val="21"/>
        </w:rPr>
      </w:pPr>
      <w:r>
        <w:rPr>
          <w:rFonts w:hint="eastAsia" w:ascii="宋体" w:hAnsi="宋体"/>
          <w:szCs w:val="21"/>
        </w:rPr>
        <w:t>在最近三年内骗取中选情形的；</w:t>
      </w:r>
    </w:p>
    <w:p>
      <w:pPr>
        <w:numPr>
          <w:ilvl w:val="0"/>
          <w:numId w:val="3"/>
        </w:numPr>
        <w:tabs>
          <w:tab w:val="left" w:pos="0"/>
          <w:tab w:val="left" w:pos="993"/>
          <w:tab w:val="clear" w:pos="1142"/>
        </w:tabs>
        <w:spacing w:line="440" w:lineRule="exact"/>
        <w:ind w:left="0" w:firstLine="422"/>
        <w:rPr>
          <w:rFonts w:ascii="宋体" w:hAnsi="宋体"/>
          <w:szCs w:val="21"/>
        </w:rPr>
      </w:pPr>
      <w:r>
        <w:rPr>
          <w:rFonts w:hint="eastAsia" w:ascii="宋体" w:hAnsi="宋体"/>
          <w:szCs w:val="21"/>
        </w:rPr>
        <w:t>在最近三年内因严重违反合同约定被解除合同/协议，或取消供应商资格的；</w:t>
      </w:r>
    </w:p>
    <w:p>
      <w:pPr>
        <w:numPr>
          <w:ilvl w:val="0"/>
          <w:numId w:val="3"/>
        </w:numPr>
        <w:tabs>
          <w:tab w:val="left" w:pos="993"/>
        </w:tabs>
        <w:adjustRightInd w:val="0"/>
        <w:snapToGrid w:val="0"/>
        <w:spacing w:before="60" w:after="60" w:line="360" w:lineRule="exact"/>
        <w:rPr>
          <w:rFonts w:ascii="宋体" w:hAnsi="宋体"/>
          <w:color w:val="000000" w:themeColor="text1"/>
          <w:szCs w:val="21"/>
          <w14:textFill>
            <w14:solidFill>
              <w14:schemeClr w14:val="tx1"/>
            </w14:solidFill>
          </w14:textFill>
        </w:rPr>
      </w:pPr>
      <w:r>
        <w:rPr>
          <w:rFonts w:hint="eastAsia" w:ascii="宋体" w:hAnsi="宋体"/>
          <w:szCs w:val="21"/>
        </w:rPr>
        <w:t>在最近五年内参与的采购活动中有行贿犯罪记录的；</w:t>
      </w:r>
      <w:bookmarkEnd w:id="8"/>
      <w:bookmarkEnd w:id="9"/>
      <w:bookmarkEnd w:id="10"/>
    </w:p>
    <w:p>
      <w:pPr>
        <w:pStyle w:val="47"/>
        <w:numPr>
          <w:ilvl w:val="0"/>
          <w:numId w:val="2"/>
        </w:numPr>
        <w:adjustRightInd w:val="0"/>
        <w:snapToGrid w:val="0"/>
        <w:spacing w:line="440" w:lineRule="exact"/>
        <w:ind w:firstLineChars="0"/>
        <w:rPr>
          <w:rFonts w:ascii="宋体" w:hAnsi="宋体"/>
          <w:b/>
          <w:szCs w:val="21"/>
        </w:rPr>
      </w:pPr>
      <w:r>
        <w:rPr>
          <w:rFonts w:hint="eastAsia" w:ascii="宋体" w:hAnsi="宋体"/>
          <w:b/>
          <w:szCs w:val="21"/>
        </w:rPr>
        <w:t>竞争性磋商文件获取</w:t>
      </w:r>
    </w:p>
    <w:p>
      <w:pPr>
        <w:snapToGrid w:val="0"/>
        <w:spacing w:line="400" w:lineRule="atLeast"/>
        <w:ind w:firstLine="420" w:firstLineChars="200"/>
        <w:contextualSpacing/>
        <w:rPr>
          <w:rFonts w:ascii="仿宋_GB2312" w:hAnsi="仿宋_GB2312" w:eastAsia="仿宋_GB2312" w:cs="仿宋_GB2312"/>
          <w:bCs/>
          <w:sz w:val="28"/>
          <w:szCs w:val="28"/>
        </w:rPr>
      </w:pPr>
      <w:r>
        <w:rPr>
          <w:rFonts w:hint="eastAsia" w:ascii="宋体" w:hAnsi="宋体"/>
          <w:szCs w:val="21"/>
        </w:rPr>
        <w:t>招标文件各潜在投标人于招标文件挂网公示后</w:t>
      </w:r>
      <w:r>
        <w:rPr>
          <w:rFonts w:hint="eastAsia" w:ascii="宋体" w:hAnsi="宋体"/>
          <w:szCs w:val="21"/>
          <w:lang w:eastAsia="zh-CN"/>
        </w:rPr>
        <w:t>，</w:t>
      </w:r>
      <w:r>
        <w:rPr>
          <w:rFonts w:hint="eastAsia" w:ascii="宋体" w:hAnsi="宋体"/>
          <w:szCs w:val="21"/>
          <w:lang w:val="en-US" w:eastAsia="zh-CN"/>
        </w:rPr>
        <w:t>南通市大数据集团官网自行下载</w:t>
      </w:r>
      <w:r>
        <w:rPr>
          <w:rFonts w:hint="eastAsia" w:ascii="宋体" w:hAnsi="宋体"/>
          <w:szCs w:val="21"/>
        </w:rPr>
        <w:t>。</w:t>
      </w:r>
    </w:p>
    <w:p>
      <w:pPr>
        <w:pStyle w:val="47"/>
        <w:numPr>
          <w:ilvl w:val="0"/>
          <w:numId w:val="2"/>
        </w:numPr>
        <w:adjustRightInd w:val="0"/>
        <w:snapToGrid w:val="0"/>
        <w:spacing w:line="440" w:lineRule="exact"/>
        <w:ind w:firstLineChars="0"/>
        <w:rPr>
          <w:rFonts w:ascii="宋体" w:hAnsi="宋体"/>
          <w:b/>
          <w:szCs w:val="21"/>
        </w:rPr>
      </w:pPr>
      <w:r>
        <w:rPr>
          <w:rFonts w:hint="eastAsia" w:ascii="宋体" w:hAnsi="宋体"/>
          <w:b/>
          <w:szCs w:val="21"/>
        </w:rPr>
        <w:t>投标文件的递交</w:t>
      </w:r>
    </w:p>
    <w:p>
      <w:pPr>
        <w:pStyle w:val="47"/>
        <w:numPr>
          <w:ilvl w:val="1"/>
          <w:numId w:val="2"/>
        </w:numPr>
        <w:adjustRightInd w:val="0"/>
        <w:snapToGrid w:val="0"/>
        <w:spacing w:line="440" w:lineRule="exact"/>
        <w:ind w:left="0" w:firstLine="424" w:firstLineChars="202"/>
        <w:rPr>
          <w:rFonts w:ascii="宋体" w:hAnsi="宋体"/>
          <w:szCs w:val="21"/>
        </w:rPr>
      </w:pPr>
      <w:r>
        <w:rPr>
          <w:rFonts w:hint="eastAsia" w:ascii="宋体" w:hAnsi="宋体"/>
          <w:szCs w:val="21"/>
        </w:rPr>
        <w:t>投标文件</w:t>
      </w:r>
      <w:r>
        <w:rPr>
          <w:rFonts w:hint="eastAsia" w:ascii="宋体" w:hAnsi="宋体"/>
        </w:rPr>
        <w:t>递交截止时间</w:t>
      </w:r>
      <w:r>
        <w:rPr>
          <w:rFonts w:hint="eastAsia" w:ascii="宋体" w:hAnsi="宋体"/>
          <w:szCs w:val="21"/>
        </w:rPr>
        <w:t>（即投标截止时间）：</w:t>
      </w:r>
      <w:r>
        <w:rPr>
          <w:rFonts w:hint="eastAsia" w:ascii="宋体" w:hAnsi="宋体"/>
          <w:szCs w:val="21"/>
          <w:highlight w:val="none"/>
          <w:u w:val="single"/>
        </w:rPr>
        <w:t xml:space="preserve">【2019年 </w:t>
      </w:r>
      <w:r>
        <w:rPr>
          <w:rFonts w:hint="eastAsia" w:ascii="宋体" w:hAnsi="宋体"/>
          <w:szCs w:val="21"/>
          <w:highlight w:val="none"/>
          <w:u w:val="single"/>
          <w:lang w:val="en-US" w:eastAsia="zh-CN"/>
        </w:rPr>
        <w:t>7</w:t>
      </w:r>
      <w:r>
        <w:rPr>
          <w:rFonts w:hint="eastAsia" w:ascii="宋体" w:hAnsi="宋体"/>
          <w:szCs w:val="21"/>
          <w:highlight w:val="none"/>
          <w:u w:val="single"/>
        </w:rPr>
        <w:t xml:space="preserve">月 </w:t>
      </w:r>
      <w:r>
        <w:rPr>
          <w:rFonts w:hint="eastAsia" w:ascii="宋体" w:hAnsi="宋体"/>
          <w:szCs w:val="21"/>
          <w:highlight w:val="none"/>
          <w:u w:val="single"/>
          <w:lang w:val="en-US" w:eastAsia="zh-CN"/>
        </w:rPr>
        <w:t>9</w:t>
      </w:r>
      <w:r>
        <w:rPr>
          <w:rFonts w:hint="eastAsia" w:ascii="宋体" w:hAnsi="宋体"/>
          <w:szCs w:val="21"/>
          <w:highlight w:val="none"/>
          <w:u w:val="single"/>
        </w:rPr>
        <w:t>日14时30分】</w:t>
      </w:r>
      <w:r>
        <w:rPr>
          <w:rFonts w:hint="eastAsia" w:ascii="宋体" w:hAnsi="宋体"/>
          <w:szCs w:val="21"/>
          <w:highlight w:val="none"/>
        </w:rPr>
        <w:t>。</w:t>
      </w:r>
    </w:p>
    <w:p>
      <w:pPr>
        <w:pStyle w:val="47"/>
        <w:numPr>
          <w:ilvl w:val="1"/>
          <w:numId w:val="2"/>
        </w:numPr>
        <w:adjustRightInd w:val="0"/>
        <w:snapToGrid w:val="0"/>
        <w:spacing w:line="440" w:lineRule="exact"/>
        <w:ind w:left="0" w:firstLine="424" w:firstLineChars="202"/>
        <w:rPr>
          <w:szCs w:val="21"/>
        </w:rPr>
      </w:pPr>
      <w:r>
        <w:rPr>
          <w:rFonts w:hint="eastAsia" w:ascii="宋体" w:hAnsi="宋体"/>
          <w:szCs w:val="21"/>
        </w:rPr>
        <w:t>投标文件递交地点：</w:t>
      </w:r>
      <w:r>
        <w:rPr>
          <w:rFonts w:hint="eastAsia" w:ascii="宋体" w:hAnsi="宋体"/>
          <w:szCs w:val="21"/>
          <w:u w:val="single"/>
        </w:rPr>
        <w:t xml:space="preserve"> 南通市崇川区盘香路创源科技园8号楼13层</w:t>
      </w:r>
      <w:r>
        <w:rPr>
          <w:rFonts w:hint="eastAsia" w:ascii="宋体" w:hAnsi="宋体"/>
          <w:szCs w:val="21"/>
        </w:rPr>
        <w:t>。</w:t>
      </w:r>
    </w:p>
    <w:p>
      <w:pPr>
        <w:pStyle w:val="47"/>
        <w:numPr>
          <w:ilvl w:val="1"/>
          <w:numId w:val="2"/>
        </w:numPr>
        <w:adjustRightInd w:val="0"/>
        <w:snapToGrid w:val="0"/>
        <w:spacing w:line="440" w:lineRule="exact"/>
        <w:ind w:left="0" w:firstLine="424" w:firstLineChars="202"/>
        <w:rPr>
          <w:rFonts w:ascii="宋体" w:hAnsi="宋体"/>
          <w:szCs w:val="21"/>
        </w:rPr>
      </w:pPr>
      <w:r>
        <w:rPr>
          <w:rFonts w:hint="eastAsia" w:ascii="宋体" w:hAnsi="宋体"/>
          <w:szCs w:val="21"/>
        </w:rPr>
        <w:t>本项目将于上述同一时间、地点进行唱价，</w:t>
      </w:r>
      <w:r>
        <w:rPr>
          <w:rFonts w:hint="eastAsia" w:ascii="宋体" w:hAnsi="宋体"/>
          <w:spacing w:val="2"/>
          <w:szCs w:val="21"/>
        </w:rPr>
        <w:t>招标人</w:t>
      </w:r>
      <w:r>
        <w:rPr>
          <w:rFonts w:hint="eastAsia" w:ascii="宋体" w:hAnsi="宋体"/>
          <w:szCs w:val="21"/>
        </w:rPr>
        <w:t>邀请投标人的法定代表人或者其委托代理人准时参加。</w:t>
      </w:r>
    </w:p>
    <w:p>
      <w:pPr>
        <w:pStyle w:val="47"/>
        <w:numPr>
          <w:ilvl w:val="1"/>
          <w:numId w:val="2"/>
        </w:numPr>
        <w:adjustRightInd w:val="0"/>
        <w:snapToGrid w:val="0"/>
        <w:spacing w:line="440" w:lineRule="exact"/>
        <w:ind w:left="0" w:firstLine="424" w:firstLineChars="202"/>
        <w:rPr>
          <w:rFonts w:ascii="宋体" w:hAnsi="宋体"/>
          <w:szCs w:val="21"/>
        </w:rPr>
      </w:pPr>
      <w:r>
        <w:rPr>
          <w:rFonts w:hint="eastAsia" w:ascii="宋体" w:hAnsi="宋体"/>
          <w:szCs w:val="21"/>
        </w:rPr>
        <w:t>出现以下情形时，</w:t>
      </w:r>
      <w:r>
        <w:rPr>
          <w:rFonts w:hint="eastAsia" w:ascii="宋体" w:hAnsi="宋体"/>
          <w:spacing w:val="2"/>
          <w:szCs w:val="21"/>
        </w:rPr>
        <w:t>招标人</w:t>
      </w:r>
      <w:r>
        <w:rPr>
          <w:rFonts w:hint="eastAsia" w:ascii="宋体" w:hAnsi="宋体"/>
          <w:szCs w:val="21"/>
        </w:rPr>
        <w:t>不予接收投标文件：</w:t>
      </w:r>
    </w:p>
    <w:p>
      <w:pPr>
        <w:pStyle w:val="47"/>
        <w:numPr>
          <w:ilvl w:val="2"/>
          <w:numId w:val="2"/>
        </w:numPr>
        <w:tabs>
          <w:tab w:val="left" w:pos="1134"/>
        </w:tabs>
        <w:adjustRightInd w:val="0"/>
        <w:snapToGrid w:val="0"/>
        <w:spacing w:line="440" w:lineRule="exact"/>
        <w:ind w:left="0" w:firstLine="425" w:firstLineChars="199"/>
        <w:rPr>
          <w:rFonts w:ascii="宋体" w:hAnsi="宋体"/>
          <w:spacing w:val="2"/>
          <w:szCs w:val="21"/>
        </w:rPr>
      </w:pPr>
      <w:r>
        <w:rPr>
          <w:rFonts w:hint="eastAsia" w:ascii="宋体" w:hAnsi="宋体"/>
          <w:spacing w:val="2"/>
          <w:szCs w:val="21"/>
        </w:rPr>
        <w:t>逾期送达或者未送达指定地点的；</w:t>
      </w:r>
    </w:p>
    <w:p>
      <w:pPr>
        <w:pStyle w:val="47"/>
        <w:numPr>
          <w:ilvl w:val="2"/>
          <w:numId w:val="2"/>
        </w:numPr>
        <w:tabs>
          <w:tab w:val="left" w:pos="1134"/>
        </w:tabs>
        <w:adjustRightInd w:val="0"/>
        <w:snapToGrid w:val="0"/>
        <w:spacing w:line="440" w:lineRule="exact"/>
        <w:ind w:left="0" w:firstLine="425" w:firstLineChars="199"/>
        <w:rPr>
          <w:rFonts w:ascii="宋体" w:hAnsi="宋体"/>
          <w:spacing w:val="2"/>
          <w:szCs w:val="21"/>
        </w:rPr>
      </w:pPr>
      <w:r>
        <w:rPr>
          <w:rFonts w:hint="eastAsia" w:ascii="宋体" w:hAnsi="宋体"/>
          <w:spacing w:val="2"/>
          <w:szCs w:val="21"/>
        </w:rPr>
        <w:t>未按照竞争性磋商文件要求密封的；</w:t>
      </w:r>
    </w:p>
    <w:p>
      <w:pPr>
        <w:pStyle w:val="47"/>
        <w:numPr>
          <w:ilvl w:val="2"/>
          <w:numId w:val="2"/>
        </w:numPr>
        <w:tabs>
          <w:tab w:val="left" w:pos="1134"/>
        </w:tabs>
        <w:adjustRightInd w:val="0"/>
        <w:snapToGrid w:val="0"/>
        <w:spacing w:line="440" w:lineRule="exact"/>
        <w:ind w:left="0" w:firstLine="425" w:firstLineChars="199"/>
        <w:rPr>
          <w:rFonts w:ascii="宋体" w:hAnsi="宋体"/>
          <w:spacing w:val="2"/>
          <w:szCs w:val="21"/>
        </w:rPr>
      </w:pPr>
      <w:r>
        <w:rPr>
          <w:rFonts w:hint="eastAsia" w:ascii="宋体" w:hAnsi="宋体"/>
          <w:spacing w:val="2"/>
          <w:szCs w:val="21"/>
        </w:rPr>
        <w:t>未按照本招标公告要求获得本项目竞争性磋商文件的。</w:t>
      </w:r>
    </w:p>
    <w:p>
      <w:pPr>
        <w:pStyle w:val="47"/>
        <w:numPr>
          <w:ilvl w:val="0"/>
          <w:numId w:val="2"/>
        </w:numPr>
        <w:adjustRightInd w:val="0"/>
        <w:snapToGrid w:val="0"/>
        <w:spacing w:line="440" w:lineRule="exact"/>
        <w:ind w:firstLineChars="0"/>
        <w:rPr>
          <w:rFonts w:ascii="宋体" w:hAnsi="宋体"/>
          <w:b/>
          <w:szCs w:val="21"/>
        </w:rPr>
      </w:pPr>
      <w:r>
        <w:rPr>
          <w:rFonts w:hint="eastAsia" w:ascii="宋体" w:hAnsi="宋体"/>
          <w:b/>
          <w:szCs w:val="21"/>
        </w:rPr>
        <w:t>发布公告的媒介</w:t>
      </w:r>
    </w:p>
    <w:p>
      <w:pPr>
        <w:pStyle w:val="47"/>
        <w:adjustRightInd w:val="0"/>
        <w:snapToGrid w:val="0"/>
        <w:spacing w:line="440" w:lineRule="exact"/>
        <w:jc w:val="left"/>
        <w:rPr>
          <w:rFonts w:ascii="宋体" w:hAnsi="宋体"/>
          <w:szCs w:val="21"/>
        </w:rPr>
      </w:pPr>
      <w:r>
        <w:rPr>
          <w:rFonts w:hint="eastAsia" w:ascii="宋体" w:hAnsi="宋体"/>
          <w:szCs w:val="21"/>
        </w:rPr>
        <w:t>本招标公告</w:t>
      </w:r>
      <w:r>
        <w:rPr>
          <w:rFonts w:hint="eastAsia" w:ascii="宋体" w:hAnsi="宋体"/>
        </w:rPr>
        <w:t>仅在大数据发展集团有限公司网站</w:t>
      </w:r>
      <w:r>
        <w:rPr>
          <w:rFonts w:hint="eastAsia" w:ascii="宋体" w:hAnsi="宋体"/>
          <w:szCs w:val="21"/>
        </w:rPr>
        <w:t>上发布，其他媒介转载无效。</w:t>
      </w:r>
    </w:p>
    <w:p>
      <w:pPr>
        <w:pStyle w:val="47"/>
        <w:numPr>
          <w:ilvl w:val="0"/>
          <w:numId w:val="2"/>
        </w:numPr>
        <w:adjustRightInd w:val="0"/>
        <w:snapToGrid w:val="0"/>
        <w:spacing w:line="440" w:lineRule="exact"/>
        <w:ind w:firstLineChars="0"/>
        <w:rPr>
          <w:rFonts w:ascii="宋体" w:hAnsi="宋体"/>
          <w:b/>
          <w:szCs w:val="21"/>
        </w:rPr>
      </w:pPr>
      <w:r>
        <w:rPr>
          <w:rFonts w:hint="eastAsia" w:ascii="宋体" w:hAnsi="宋体"/>
          <w:b/>
          <w:szCs w:val="21"/>
        </w:rPr>
        <w:t>联系方式</w:t>
      </w:r>
    </w:p>
    <w:p>
      <w:pPr>
        <w:rPr>
          <w:rFonts w:ascii="宋体" w:hAnsi="宋体"/>
          <w:u w:val="single"/>
        </w:rPr>
      </w:pPr>
      <w:r>
        <w:rPr>
          <w:rFonts w:hint="eastAsia" w:ascii="宋体" w:hAnsi="宋体" w:cs="宋体"/>
          <w:kern w:val="0"/>
          <w:szCs w:val="21"/>
        </w:rPr>
        <w:t>比   选  人：</w:t>
      </w:r>
      <w:r>
        <w:rPr>
          <w:rFonts w:hint="eastAsia" w:ascii="宋体" w:hAnsi="宋体"/>
          <w:u w:val="single"/>
        </w:rPr>
        <w:t>南通市大数据发展集团有限公司</w:t>
      </w:r>
    </w:p>
    <w:p>
      <w:pPr>
        <w:rPr>
          <w:rFonts w:ascii="宋体" w:hAnsi="宋体" w:cs="宋体"/>
          <w:kern w:val="0"/>
          <w:szCs w:val="21"/>
        </w:rPr>
      </w:pPr>
      <w:r>
        <w:rPr>
          <w:rFonts w:hint="eastAsia" w:ascii="宋体" w:hAnsi="宋体" w:cs="宋体"/>
          <w:kern w:val="0"/>
          <w:szCs w:val="21"/>
        </w:rPr>
        <w:t>联   系   人：缪铭</w:t>
      </w:r>
    </w:p>
    <w:p>
      <w:pPr>
        <w:rPr>
          <w:rFonts w:ascii="宋体" w:hAnsi="宋体" w:cs="宋体"/>
          <w:kern w:val="0"/>
          <w:szCs w:val="21"/>
        </w:rPr>
      </w:pPr>
      <w:r>
        <w:rPr>
          <w:rFonts w:hint="eastAsia" w:ascii="宋体" w:hAnsi="宋体" w:cs="宋体"/>
          <w:kern w:val="0"/>
          <w:szCs w:val="21"/>
        </w:rPr>
        <w:t>电        话：18862932051</w:t>
      </w:r>
    </w:p>
    <w:p>
      <w:pPr>
        <w:ind w:firstLine="6405" w:firstLineChars="3050"/>
        <w:rPr>
          <w:rFonts w:ascii="宋体" w:hAnsi="宋体" w:cs="宋体"/>
          <w:kern w:val="0"/>
          <w:szCs w:val="21"/>
        </w:rPr>
      </w:pPr>
      <w:bookmarkStart w:id="11" w:name="_Toc447188665"/>
      <w:bookmarkStart w:id="12" w:name="_Toc447265214"/>
      <w:bookmarkStart w:id="13" w:name="_Toc447265500"/>
    </w:p>
    <w:p>
      <w:pPr>
        <w:ind w:firstLine="6405" w:firstLineChars="3050"/>
        <w:rPr>
          <w:rFonts w:ascii="宋体" w:hAnsi="宋体" w:cs="宋体"/>
          <w:kern w:val="0"/>
          <w:szCs w:val="21"/>
        </w:rPr>
      </w:pPr>
    </w:p>
    <w:p>
      <w:pPr>
        <w:ind w:firstLine="6405" w:firstLineChars="3050"/>
        <w:rPr>
          <w:rFonts w:ascii="宋体" w:hAnsi="宋体" w:cs="宋体"/>
          <w:kern w:val="0"/>
          <w:szCs w:val="21"/>
        </w:rPr>
      </w:pPr>
    </w:p>
    <w:p>
      <w:pPr>
        <w:ind w:firstLine="6405" w:firstLineChars="3050"/>
        <w:rPr>
          <w:rFonts w:ascii="宋体" w:hAnsi="宋体" w:cs="宋体"/>
          <w:kern w:val="0"/>
          <w:szCs w:val="21"/>
        </w:rPr>
      </w:pPr>
    </w:p>
    <w:p>
      <w:pPr>
        <w:ind w:firstLine="6405" w:firstLineChars="3050"/>
        <w:rPr>
          <w:rFonts w:ascii="宋体" w:hAnsi="宋体" w:cs="宋体"/>
          <w:kern w:val="0"/>
          <w:szCs w:val="21"/>
        </w:rPr>
      </w:pPr>
    </w:p>
    <w:p>
      <w:pPr>
        <w:ind w:firstLine="6405" w:firstLineChars="3050"/>
        <w:rPr>
          <w:rFonts w:ascii="宋体" w:hAnsi="宋体" w:cs="宋体"/>
          <w:kern w:val="0"/>
          <w:szCs w:val="21"/>
        </w:rPr>
      </w:pPr>
    </w:p>
    <w:p>
      <w:pPr>
        <w:ind w:firstLine="6405" w:firstLineChars="3050"/>
        <w:rPr>
          <w:rFonts w:ascii="宋体" w:hAnsi="宋体" w:cs="宋体"/>
          <w:kern w:val="0"/>
          <w:szCs w:val="21"/>
        </w:rPr>
      </w:pPr>
    </w:p>
    <w:p>
      <w:pPr>
        <w:ind w:firstLine="6405" w:firstLineChars="3050"/>
        <w:rPr>
          <w:rFonts w:ascii="宋体" w:hAnsi="宋体" w:cs="宋体"/>
          <w:kern w:val="0"/>
          <w:szCs w:val="21"/>
        </w:rPr>
      </w:pPr>
    </w:p>
    <w:p>
      <w:pPr>
        <w:ind w:firstLine="6405" w:firstLineChars="3050"/>
        <w:rPr>
          <w:rFonts w:ascii="宋体" w:hAnsi="宋体" w:cs="宋体"/>
          <w:kern w:val="0"/>
          <w:szCs w:val="21"/>
        </w:rPr>
      </w:pPr>
    </w:p>
    <w:p>
      <w:pPr>
        <w:ind w:firstLine="6405" w:firstLineChars="3050"/>
        <w:rPr>
          <w:rFonts w:ascii="宋体" w:hAnsi="宋体" w:cs="宋体"/>
          <w:kern w:val="0"/>
          <w:szCs w:val="21"/>
        </w:rPr>
      </w:pPr>
    </w:p>
    <w:p>
      <w:pPr>
        <w:ind w:firstLine="6405" w:firstLineChars="3050"/>
        <w:rPr>
          <w:rFonts w:ascii="宋体" w:hAnsi="宋体" w:cs="宋体"/>
          <w:kern w:val="0"/>
          <w:szCs w:val="21"/>
        </w:rPr>
      </w:pPr>
    </w:p>
    <w:p>
      <w:pPr>
        <w:ind w:firstLine="6405" w:firstLineChars="3050"/>
        <w:rPr>
          <w:rFonts w:ascii="宋体" w:hAnsi="宋体" w:cs="宋体"/>
          <w:kern w:val="0"/>
          <w:szCs w:val="21"/>
        </w:rPr>
      </w:pPr>
    </w:p>
    <w:p>
      <w:pPr>
        <w:ind w:firstLine="6405" w:firstLineChars="3050"/>
        <w:rPr>
          <w:rFonts w:ascii="宋体" w:hAnsi="宋体" w:cs="宋体"/>
          <w:kern w:val="0"/>
          <w:szCs w:val="21"/>
        </w:rPr>
      </w:pPr>
    </w:p>
    <w:p>
      <w:pPr>
        <w:ind w:firstLine="6405" w:firstLineChars="3050"/>
        <w:rPr>
          <w:rFonts w:ascii="宋体" w:hAnsi="宋体" w:cs="宋体"/>
          <w:kern w:val="0"/>
          <w:szCs w:val="21"/>
        </w:rPr>
      </w:pPr>
    </w:p>
    <w:p>
      <w:pPr>
        <w:ind w:firstLine="6405" w:firstLineChars="3050"/>
        <w:rPr>
          <w:rFonts w:ascii="宋体" w:hAnsi="宋体" w:cs="宋体"/>
          <w:kern w:val="0"/>
          <w:szCs w:val="21"/>
        </w:rPr>
      </w:pPr>
    </w:p>
    <w:p>
      <w:pPr>
        <w:ind w:firstLine="6405" w:firstLineChars="3050"/>
        <w:rPr>
          <w:rFonts w:ascii="宋体" w:hAnsi="宋体" w:cs="宋体"/>
          <w:kern w:val="0"/>
          <w:szCs w:val="21"/>
        </w:rPr>
      </w:pPr>
    </w:p>
    <w:p>
      <w:pPr>
        <w:pStyle w:val="46"/>
        <w:spacing w:before="240" w:after="120"/>
        <w:rPr>
          <w:rFonts w:ascii="宋体" w:hAnsi="宋体" w:eastAsia="宋体" w:cs="宋体"/>
          <w:b/>
          <w:sz w:val="28"/>
          <w:szCs w:val="28"/>
        </w:rPr>
      </w:pPr>
      <w:bookmarkStart w:id="14" w:name="_Toc12017901"/>
      <w:r>
        <w:rPr>
          <w:rFonts w:hint="eastAsia" w:ascii="宋体" w:hAnsi="宋体" w:eastAsia="宋体" w:cs="宋体"/>
          <w:b/>
          <w:bCs w:val="0"/>
          <w:kern w:val="0"/>
          <w:sz w:val="28"/>
          <w:szCs w:val="28"/>
        </w:rPr>
        <w:t>第二章投标人须知</w:t>
      </w:r>
      <w:bookmarkEnd w:id="11"/>
      <w:bookmarkEnd w:id="12"/>
      <w:bookmarkEnd w:id="13"/>
      <w:bookmarkEnd w:id="14"/>
    </w:p>
    <w:p>
      <w:pPr>
        <w:pStyle w:val="3"/>
        <w:snapToGrid w:val="0"/>
        <w:spacing w:before="240" w:after="120" w:line="240" w:lineRule="auto"/>
        <w:rPr>
          <w:rFonts w:ascii="宋体" w:hAnsi="宋体" w:eastAsia="宋体" w:cs="宋体"/>
          <w:sz w:val="24"/>
          <w:szCs w:val="24"/>
        </w:rPr>
      </w:pPr>
      <w:bookmarkStart w:id="15" w:name="_Toc12017902"/>
      <w:bookmarkStart w:id="16" w:name="_Toc227057884"/>
      <w:bookmarkStart w:id="17" w:name="_Toc447188666"/>
      <w:bookmarkStart w:id="18" w:name="_Toc447265501"/>
      <w:bookmarkStart w:id="19" w:name="_Toc226969277"/>
      <w:bookmarkStart w:id="20" w:name="_Toc447265215"/>
      <w:r>
        <w:rPr>
          <w:rFonts w:hint="eastAsia" w:ascii="宋体" w:hAnsi="宋体" w:eastAsia="宋体" w:cs="宋体"/>
          <w:b w:val="0"/>
          <w:bCs w:val="0"/>
          <w:sz w:val="24"/>
          <w:szCs w:val="24"/>
        </w:rPr>
        <w:t>投标人须知前附表</w:t>
      </w:r>
      <w:bookmarkEnd w:id="15"/>
      <w:bookmarkEnd w:id="16"/>
      <w:bookmarkEnd w:id="17"/>
      <w:bookmarkEnd w:id="18"/>
      <w:bookmarkEnd w:id="19"/>
      <w:bookmarkEnd w:id="20"/>
    </w:p>
    <w:p>
      <w:pPr>
        <w:autoSpaceDE w:val="0"/>
        <w:autoSpaceDN w:val="0"/>
        <w:ind w:firstLine="420" w:firstLineChars="200"/>
        <w:rPr>
          <w:rFonts w:ascii="宋体" w:hAnsi="宋体" w:cs="宋体"/>
        </w:rPr>
      </w:pPr>
      <w:r>
        <w:rPr>
          <w:rFonts w:hint="eastAsia" w:ascii="宋体" w:hAnsi="宋体" w:cs="宋体"/>
          <w:szCs w:val="21"/>
        </w:rPr>
        <w:t>本投标人须知前附表是对投标人须知正文的具体补充和修改，如有矛盾，以本前附表为准。</w:t>
      </w:r>
    </w:p>
    <w:tbl>
      <w:tblPr>
        <w:tblStyle w:val="39"/>
        <w:tblW w:w="8301" w:type="dxa"/>
        <w:tblInd w:w="28"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
      <w:tblGrid>
        <w:gridCol w:w="840"/>
        <w:gridCol w:w="1666"/>
        <w:gridCol w:w="579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227" w:hRule="atLeast"/>
          <w:tblHeader/>
        </w:trPr>
        <w:tc>
          <w:tcPr>
            <w:tcW w:w="840" w:type="dxa"/>
            <w:vAlign w:val="center"/>
          </w:tcPr>
          <w:p>
            <w:pPr>
              <w:autoSpaceDE w:val="0"/>
              <w:autoSpaceDN w:val="0"/>
              <w:jc w:val="center"/>
              <w:rPr>
                <w:rFonts w:ascii="宋体" w:hAnsi="宋体" w:cs="宋体"/>
                <w:b/>
                <w:szCs w:val="21"/>
              </w:rPr>
            </w:pPr>
            <w:r>
              <w:rPr>
                <w:rFonts w:hint="eastAsia" w:ascii="宋体" w:hAnsi="宋体" w:cs="宋体"/>
                <w:b/>
                <w:szCs w:val="21"/>
              </w:rPr>
              <w:t>条款号</w:t>
            </w:r>
          </w:p>
        </w:tc>
        <w:tc>
          <w:tcPr>
            <w:tcW w:w="1666" w:type="dxa"/>
            <w:vAlign w:val="center"/>
          </w:tcPr>
          <w:p>
            <w:pPr>
              <w:autoSpaceDE w:val="0"/>
              <w:autoSpaceDN w:val="0"/>
              <w:jc w:val="center"/>
              <w:rPr>
                <w:rFonts w:ascii="宋体" w:hAnsi="宋体" w:cs="宋体"/>
                <w:b/>
                <w:szCs w:val="21"/>
              </w:rPr>
            </w:pPr>
            <w:r>
              <w:rPr>
                <w:rFonts w:hint="eastAsia" w:ascii="宋体" w:hAnsi="宋体" w:cs="宋体"/>
                <w:b/>
                <w:szCs w:val="21"/>
              </w:rPr>
              <w:t>条款名称</w:t>
            </w:r>
          </w:p>
        </w:tc>
        <w:tc>
          <w:tcPr>
            <w:tcW w:w="5795" w:type="dxa"/>
            <w:vAlign w:val="center"/>
          </w:tcPr>
          <w:p>
            <w:pPr>
              <w:autoSpaceDE w:val="0"/>
              <w:autoSpaceDN w:val="0"/>
              <w:jc w:val="center"/>
              <w:rPr>
                <w:rFonts w:ascii="宋体" w:hAnsi="宋体" w:cs="宋体"/>
                <w:b/>
                <w:szCs w:val="21"/>
              </w:rPr>
            </w:pPr>
            <w:r>
              <w:rPr>
                <w:rFonts w:hint="eastAsia" w:ascii="宋体" w:hAnsi="宋体" w:cs="宋体"/>
                <w:b/>
                <w:szCs w:val="21"/>
              </w:rPr>
              <w:t>编列内容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1</w:t>
            </w:r>
          </w:p>
        </w:tc>
        <w:tc>
          <w:tcPr>
            <w:tcW w:w="1666" w:type="dxa"/>
            <w:vAlign w:val="center"/>
          </w:tcPr>
          <w:p>
            <w:pPr>
              <w:autoSpaceDE w:val="0"/>
              <w:autoSpaceDN w:val="0"/>
              <w:rPr>
                <w:rFonts w:ascii="宋体" w:hAnsi="宋体" w:cs="宋体"/>
                <w:szCs w:val="21"/>
              </w:rPr>
            </w:pPr>
            <w:r>
              <w:rPr>
                <w:rFonts w:hint="eastAsia" w:ascii="宋体" w:hAnsi="宋体" w:cs="宋体"/>
                <w:szCs w:val="21"/>
              </w:rPr>
              <w:t>招标人</w:t>
            </w:r>
          </w:p>
        </w:tc>
        <w:tc>
          <w:tcPr>
            <w:tcW w:w="5795" w:type="dxa"/>
            <w:vAlign w:val="center"/>
          </w:tcPr>
          <w:p>
            <w:pPr>
              <w:autoSpaceDE w:val="0"/>
              <w:autoSpaceDN w:val="0"/>
              <w:rPr>
                <w:rFonts w:ascii="宋体" w:hAnsi="宋体" w:cs="宋体"/>
                <w:szCs w:val="21"/>
              </w:rPr>
            </w:pPr>
            <w:r>
              <w:rPr>
                <w:rFonts w:hint="eastAsia" w:ascii="宋体" w:hAnsi="宋体" w:cs="宋体"/>
                <w:szCs w:val="21"/>
              </w:rPr>
              <w:t>单位名称：南通市大数据发展集团有限公司</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2</w:t>
            </w:r>
          </w:p>
        </w:tc>
        <w:tc>
          <w:tcPr>
            <w:tcW w:w="1666" w:type="dxa"/>
            <w:vAlign w:val="center"/>
          </w:tcPr>
          <w:p>
            <w:pPr>
              <w:autoSpaceDE w:val="0"/>
              <w:autoSpaceDN w:val="0"/>
              <w:rPr>
                <w:rFonts w:ascii="宋体" w:hAnsi="宋体" w:cs="宋体"/>
                <w:szCs w:val="21"/>
              </w:rPr>
            </w:pPr>
            <w:r>
              <w:rPr>
                <w:rFonts w:hint="eastAsia" w:ascii="宋体" w:hAnsi="宋体" w:cs="宋体"/>
                <w:szCs w:val="21"/>
              </w:rPr>
              <w:t>招标项目名称</w:t>
            </w:r>
          </w:p>
        </w:tc>
        <w:tc>
          <w:tcPr>
            <w:tcW w:w="5795" w:type="dxa"/>
            <w:vAlign w:val="center"/>
          </w:tcPr>
          <w:p>
            <w:pPr>
              <w:autoSpaceDE w:val="0"/>
              <w:autoSpaceDN w:val="0"/>
              <w:rPr>
                <w:rFonts w:ascii="宋体" w:hAnsi="宋体" w:cs="宋体"/>
                <w:szCs w:val="21"/>
              </w:rPr>
            </w:pPr>
            <w:r>
              <w:rPr>
                <w:rFonts w:hint="eastAsia" w:ascii="宋体" w:hAnsi="宋体" w:cs="宋体"/>
                <w:szCs w:val="21"/>
              </w:rPr>
              <w:t>项目名称：智慧旅游后端硬件系统项目</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3</w:t>
            </w:r>
          </w:p>
        </w:tc>
        <w:tc>
          <w:tcPr>
            <w:tcW w:w="1666" w:type="dxa"/>
            <w:vAlign w:val="center"/>
          </w:tcPr>
          <w:p>
            <w:pPr>
              <w:autoSpaceDE w:val="0"/>
              <w:autoSpaceDN w:val="0"/>
              <w:rPr>
                <w:rFonts w:ascii="宋体" w:hAnsi="宋体" w:cs="宋体"/>
                <w:szCs w:val="21"/>
              </w:rPr>
            </w:pPr>
            <w:r>
              <w:rPr>
                <w:rFonts w:hint="eastAsia" w:ascii="宋体" w:hAnsi="宋体" w:cs="宋体"/>
                <w:szCs w:val="21"/>
              </w:rPr>
              <w:t>招标范围</w:t>
            </w:r>
          </w:p>
        </w:tc>
        <w:tc>
          <w:tcPr>
            <w:tcW w:w="5795" w:type="dxa"/>
            <w:vAlign w:val="center"/>
          </w:tcPr>
          <w:p>
            <w:pPr>
              <w:autoSpaceDE w:val="0"/>
              <w:autoSpaceDN w:val="0"/>
              <w:rPr>
                <w:rFonts w:ascii="宋体" w:hAnsi="宋体" w:cs="宋体"/>
                <w:szCs w:val="21"/>
              </w:rPr>
            </w:pPr>
            <w:r>
              <w:rPr>
                <w:rFonts w:hint="eastAsia" w:ascii="宋体" w:hAnsi="宋体"/>
                <w:szCs w:val="21"/>
              </w:rPr>
              <w:t>详见第一章【招标公告】 “1.项目概况与采购内容”。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4</w:t>
            </w:r>
          </w:p>
        </w:tc>
        <w:tc>
          <w:tcPr>
            <w:tcW w:w="1666" w:type="dxa"/>
            <w:vAlign w:val="center"/>
          </w:tcPr>
          <w:p>
            <w:pPr>
              <w:autoSpaceDE w:val="0"/>
              <w:autoSpaceDN w:val="0"/>
              <w:rPr>
                <w:rFonts w:ascii="宋体" w:hAnsi="宋体" w:cs="宋体"/>
                <w:szCs w:val="21"/>
              </w:rPr>
            </w:pPr>
            <w:r>
              <w:rPr>
                <w:rFonts w:hint="eastAsia" w:ascii="宋体" w:hAnsi="宋体" w:cs="宋体"/>
                <w:szCs w:val="21"/>
              </w:rPr>
              <w:t>招标方式</w:t>
            </w:r>
          </w:p>
        </w:tc>
        <w:tc>
          <w:tcPr>
            <w:tcW w:w="5795" w:type="dxa"/>
            <w:vAlign w:val="center"/>
          </w:tcPr>
          <w:p>
            <w:pPr>
              <w:autoSpaceDE w:val="0"/>
              <w:autoSpaceDN w:val="0"/>
              <w:rPr>
                <w:rFonts w:ascii="宋体" w:hAnsi="宋体" w:cs="宋体"/>
                <w:szCs w:val="21"/>
              </w:rPr>
            </w:pPr>
            <w:r>
              <w:rPr>
                <w:rFonts w:hint="eastAsia" w:ascii="宋体" w:hAnsi="宋体" w:cs="宋体"/>
                <w:szCs w:val="21"/>
              </w:rPr>
              <w:t>公开招标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5</w:t>
            </w:r>
          </w:p>
        </w:tc>
        <w:tc>
          <w:tcPr>
            <w:tcW w:w="1666" w:type="dxa"/>
            <w:vAlign w:val="center"/>
          </w:tcPr>
          <w:p>
            <w:pPr>
              <w:autoSpaceDE w:val="0"/>
              <w:autoSpaceDN w:val="0"/>
              <w:rPr>
                <w:rFonts w:ascii="宋体" w:hAnsi="宋体" w:cs="宋体"/>
                <w:szCs w:val="21"/>
              </w:rPr>
            </w:pPr>
            <w:r>
              <w:rPr>
                <w:rFonts w:hint="eastAsia" w:ascii="宋体" w:hAnsi="宋体" w:cs="宋体"/>
                <w:szCs w:val="21"/>
              </w:rPr>
              <w:t>投标人不得存在的其他情形</w:t>
            </w:r>
          </w:p>
        </w:tc>
        <w:tc>
          <w:tcPr>
            <w:tcW w:w="5795" w:type="dxa"/>
            <w:vAlign w:val="center"/>
          </w:tcPr>
          <w:p>
            <w:pPr>
              <w:rPr>
                <w:rFonts w:ascii="宋体" w:hAnsi="宋体"/>
                <w:szCs w:val="21"/>
              </w:rPr>
            </w:pPr>
            <w:r>
              <w:rPr>
                <w:rFonts w:hint="eastAsia" w:ascii="宋体" w:hAnsi="宋体" w:cs="宋体"/>
                <w:color w:val="000000"/>
                <w:szCs w:val="21"/>
              </w:rPr>
              <w:t>见公告</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6</w:t>
            </w:r>
          </w:p>
        </w:tc>
        <w:tc>
          <w:tcPr>
            <w:tcW w:w="1666" w:type="dxa"/>
            <w:vAlign w:val="center"/>
          </w:tcPr>
          <w:p>
            <w:pPr>
              <w:autoSpaceDE w:val="0"/>
              <w:autoSpaceDN w:val="0"/>
              <w:rPr>
                <w:rFonts w:ascii="宋体" w:hAnsi="宋体" w:cs="宋体"/>
                <w:szCs w:val="21"/>
              </w:rPr>
            </w:pPr>
            <w:r>
              <w:rPr>
                <w:rFonts w:hint="eastAsia" w:ascii="宋体" w:hAnsi="宋体" w:cs="宋体"/>
                <w:szCs w:val="21"/>
              </w:rPr>
              <w:t>竞争性磋商文件的组成</w:t>
            </w:r>
          </w:p>
        </w:tc>
        <w:tc>
          <w:tcPr>
            <w:tcW w:w="5795" w:type="dxa"/>
            <w:vAlign w:val="center"/>
          </w:tcPr>
          <w:p>
            <w:pPr>
              <w:autoSpaceDE w:val="0"/>
              <w:autoSpaceDN w:val="0"/>
              <w:rPr>
                <w:rFonts w:ascii="宋体" w:hAnsi="宋体" w:cs="宋体"/>
                <w:szCs w:val="21"/>
              </w:rPr>
            </w:pPr>
          </w:p>
          <w:p>
            <w:pPr>
              <w:numPr>
                <w:ilvl w:val="0"/>
                <w:numId w:val="4"/>
              </w:numPr>
              <w:autoSpaceDE w:val="0"/>
              <w:autoSpaceDN w:val="0"/>
              <w:rPr>
                <w:rFonts w:ascii="宋体" w:hAnsi="宋体" w:cs="宋体"/>
                <w:szCs w:val="21"/>
              </w:rPr>
            </w:pPr>
            <w:r>
              <w:rPr>
                <w:rFonts w:hint="eastAsia" w:ascii="宋体" w:hAnsi="宋体" w:cs="宋体"/>
                <w:szCs w:val="21"/>
              </w:rPr>
              <w:t>招标公告</w:t>
            </w:r>
          </w:p>
          <w:p>
            <w:pPr>
              <w:numPr>
                <w:ilvl w:val="0"/>
                <w:numId w:val="4"/>
              </w:numPr>
              <w:autoSpaceDE w:val="0"/>
              <w:autoSpaceDN w:val="0"/>
              <w:rPr>
                <w:rFonts w:ascii="宋体" w:hAnsi="宋体" w:cs="宋体"/>
                <w:szCs w:val="21"/>
              </w:rPr>
            </w:pPr>
            <w:r>
              <w:rPr>
                <w:rFonts w:ascii="宋体" w:hAnsi="宋体" w:cs="宋体"/>
                <w:szCs w:val="21"/>
              </w:rPr>
              <w:t>投标人须知</w:t>
            </w:r>
          </w:p>
          <w:p>
            <w:pPr>
              <w:numPr>
                <w:ilvl w:val="0"/>
                <w:numId w:val="4"/>
              </w:numPr>
              <w:autoSpaceDE w:val="0"/>
              <w:autoSpaceDN w:val="0"/>
              <w:rPr>
                <w:rFonts w:ascii="宋体" w:hAnsi="宋体" w:cs="宋体"/>
                <w:szCs w:val="21"/>
              </w:rPr>
            </w:pPr>
            <w:r>
              <w:rPr>
                <w:rFonts w:ascii="宋体" w:hAnsi="宋体" w:cs="宋体"/>
                <w:szCs w:val="21"/>
              </w:rPr>
              <w:t>评选办法</w:t>
            </w:r>
          </w:p>
          <w:p>
            <w:pPr>
              <w:numPr>
                <w:ilvl w:val="0"/>
                <w:numId w:val="4"/>
              </w:numPr>
              <w:autoSpaceDE w:val="0"/>
              <w:autoSpaceDN w:val="0"/>
              <w:rPr>
                <w:rFonts w:ascii="宋体" w:hAnsi="宋体" w:cs="宋体"/>
                <w:szCs w:val="21"/>
              </w:rPr>
            </w:pPr>
            <w:r>
              <w:rPr>
                <w:rFonts w:hint="eastAsia" w:ascii="宋体" w:hAnsi="宋体" w:cs="宋体"/>
                <w:szCs w:val="21"/>
              </w:rPr>
              <w:t>合同签订与验收付款</w:t>
            </w:r>
          </w:p>
          <w:p>
            <w:pPr>
              <w:numPr>
                <w:ilvl w:val="0"/>
                <w:numId w:val="4"/>
              </w:numPr>
              <w:autoSpaceDE w:val="0"/>
              <w:autoSpaceDN w:val="0"/>
              <w:rPr>
                <w:rFonts w:ascii="宋体" w:hAnsi="宋体" w:cs="宋体"/>
                <w:szCs w:val="21"/>
              </w:rPr>
            </w:pPr>
            <w:r>
              <w:rPr>
                <w:rFonts w:ascii="宋体" w:hAnsi="宋体" w:cs="宋体"/>
                <w:szCs w:val="21"/>
              </w:rPr>
              <w:t>技术</w:t>
            </w:r>
            <w:r>
              <w:rPr>
                <w:rFonts w:hint="eastAsia" w:ascii="宋体" w:hAnsi="宋体" w:cs="宋体"/>
                <w:szCs w:val="21"/>
              </w:rPr>
              <w:t>规范书</w:t>
            </w:r>
          </w:p>
          <w:p>
            <w:pPr>
              <w:autoSpaceDE w:val="0"/>
              <w:autoSpaceDN w:val="0"/>
              <w:rPr>
                <w:rFonts w:ascii="宋体" w:hAnsi="宋体" w:cs="宋体"/>
                <w:szCs w:val="21"/>
              </w:rPr>
            </w:pPr>
            <w:r>
              <w:rPr>
                <w:rFonts w:hint="eastAsia" w:ascii="宋体" w:hAnsi="宋体" w:cs="宋体"/>
                <w:szCs w:val="21"/>
              </w:rPr>
              <w:t>第六章</w:t>
            </w:r>
            <w:r>
              <w:rPr>
                <w:rFonts w:ascii="宋体" w:hAnsi="宋体" w:cs="宋体"/>
                <w:szCs w:val="21"/>
              </w:rPr>
              <w:t>投标文件格式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7</w:t>
            </w:r>
          </w:p>
        </w:tc>
        <w:tc>
          <w:tcPr>
            <w:tcW w:w="1666" w:type="dxa"/>
            <w:vAlign w:val="center"/>
          </w:tcPr>
          <w:p>
            <w:pPr>
              <w:autoSpaceDE w:val="0"/>
              <w:autoSpaceDN w:val="0"/>
              <w:rPr>
                <w:rFonts w:ascii="宋体" w:hAnsi="宋体" w:cs="宋体"/>
                <w:szCs w:val="21"/>
              </w:rPr>
            </w:pPr>
            <w:r>
              <w:rPr>
                <w:rFonts w:hint="eastAsia" w:ascii="宋体" w:hAnsi="宋体" w:cs="宋体"/>
                <w:szCs w:val="21"/>
              </w:rPr>
              <w:t>是否以单项报价核定低于成本</w:t>
            </w:r>
          </w:p>
        </w:tc>
        <w:tc>
          <w:tcPr>
            <w:tcW w:w="5795" w:type="dxa"/>
            <w:vAlign w:val="center"/>
          </w:tcPr>
          <w:p>
            <w:pPr>
              <w:autoSpaceDE w:val="0"/>
              <w:autoSpaceDN w:val="0"/>
              <w:rPr>
                <w:rFonts w:ascii="宋体" w:hAnsi="宋体" w:cs="宋体"/>
                <w:szCs w:val="21"/>
              </w:rPr>
            </w:pPr>
            <w:r>
              <w:rPr>
                <w:rFonts w:hint="eastAsia" w:ascii="宋体" w:hAnsi="宋体" w:cs="宋体"/>
                <w:szCs w:val="21"/>
              </w:rPr>
              <w:t>不要求</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8</w:t>
            </w:r>
          </w:p>
        </w:tc>
        <w:tc>
          <w:tcPr>
            <w:tcW w:w="1666" w:type="dxa"/>
            <w:vAlign w:val="center"/>
          </w:tcPr>
          <w:p>
            <w:pPr>
              <w:autoSpaceDE w:val="0"/>
              <w:autoSpaceDN w:val="0"/>
              <w:rPr>
                <w:rFonts w:ascii="宋体" w:hAnsi="宋体" w:cs="宋体"/>
                <w:szCs w:val="21"/>
              </w:rPr>
            </w:pPr>
            <w:r>
              <w:rPr>
                <w:rFonts w:hint="eastAsia" w:ascii="宋体" w:hAnsi="宋体" w:cs="宋体"/>
                <w:szCs w:val="21"/>
              </w:rPr>
              <w:t>踏勘现场</w:t>
            </w:r>
          </w:p>
        </w:tc>
        <w:tc>
          <w:tcPr>
            <w:tcW w:w="5795" w:type="dxa"/>
            <w:vAlign w:val="center"/>
          </w:tcPr>
          <w:p>
            <w:pPr>
              <w:autoSpaceDE w:val="0"/>
              <w:autoSpaceDN w:val="0"/>
              <w:rPr>
                <w:rFonts w:ascii="宋体" w:hAnsi="宋体" w:cs="宋体"/>
                <w:szCs w:val="21"/>
                <w:highlight w:val="yellow"/>
              </w:rPr>
            </w:pPr>
            <w:r>
              <w:rPr>
                <w:rFonts w:hint="eastAsia" w:ascii="宋体" w:hAnsi="宋体" w:cs="宋体"/>
                <w:szCs w:val="21"/>
              </w:rPr>
              <w:t>不组织，由投标人自行去现场踏勘。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9</w:t>
            </w:r>
          </w:p>
        </w:tc>
        <w:tc>
          <w:tcPr>
            <w:tcW w:w="1666" w:type="dxa"/>
            <w:vAlign w:val="center"/>
          </w:tcPr>
          <w:p>
            <w:pPr>
              <w:autoSpaceDE w:val="0"/>
              <w:autoSpaceDN w:val="0"/>
              <w:rPr>
                <w:rFonts w:ascii="宋体" w:hAnsi="宋体" w:cs="宋体"/>
                <w:szCs w:val="21"/>
              </w:rPr>
            </w:pPr>
            <w:r>
              <w:rPr>
                <w:rFonts w:hint="eastAsia" w:ascii="宋体" w:hAnsi="宋体" w:cs="宋体"/>
                <w:szCs w:val="21"/>
              </w:rPr>
              <w:t>投标文件组成</w:t>
            </w:r>
          </w:p>
        </w:tc>
        <w:tc>
          <w:tcPr>
            <w:tcW w:w="5795" w:type="dxa"/>
            <w:vAlign w:val="center"/>
          </w:tcPr>
          <w:p>
            <w:pPr>
              <w:spacing w:line="320" w:lineRule="exact"/>
              <w:rPr>
                <w:rFonts w:ascii="宋体" w:hAnsi="宋体"/>
                <w:b/>
                <w:bCs/>
                <w:color w:val="000000"/>
                <w:szCs w:val="21"/>
              </w:rPr>
            </w:pPr>
            <w:r>
              <w:rPr>
                <w:rFonts w:hint="eastAsia" w:ascii="宋体" w:hAnsi="宋体"/>
                <w:b/>
                <w:bCs/>
                <w:color w:val="000000"/>
                <w:szCs w:val="21"/>
              </w:rPr>
              <w:t>商务、技术投标文件，包括：</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（1）专用印章授权函</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（2）投标函</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（3）法定代表人（负责人）身份证明</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（4）法定代表人（负责人）授权委托书</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（5）廉洁投标承诺书</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（6）商务规范书偏离表</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（7）技术规范书偏离表</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（8）承诺书</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（9）商务技术证明文件</w:t>
            </w:r>
          </w:p>
          <w:p>
            <w:pPr>
              <w:spacing w:line="320" w:lineRule="exact"/>
              <w:ind w:left="15" w:leftChars="7"/>
              <w:rPr>
                <w:rFonts w:ascii="宋体" w:hAnsi="宋体" w:cs="宋体"/>
                <w:b/>
                <w:szCs w:val="21"/>
              </w:rPr>
            </w:pPr>
            <w:r>
              <w:rPr>
                <w:rFonts w:hint="eastAsia" w:ascii="宋体" w:hAnsi="宋体" w:cs="宋体"/>
                <w:b/>
                <w:szCs w:val="21"/>
              </w:rPr>
              <w:t>唱价文件，包括：</w:t>
            </w:r>
          </w:p>
          <w:p>
            <w:pPr>
              <w:numPr>
                <w:ilvl w:val="0"/>
                <w:numId w:val="5"/>
              </w:numPr>
              <w:tabs>
                <w:tab w:val="left" w:pos="1050"/>
              </w:tabs>
              <w:spacing w:line="320" w:lineRule="exact"/>
              <w:rPr>
                <w:rFonts w:ascii="宋体" w:hAnsi="宋体" w:cs="宋体"/>
                <w:szCs w:val="21"/>
              </w:rPr>
            </w:pPr>
            <w:r>
              <w:rPr>
                <w:rFonts w:hint="eastAsia" w:ascii="宋体" w:hAnsi="宋体" w:cs="宋体"/>
                <w:szCs w:val="21"/>
              </w:rPr>
              <w:t>投标一览表</w:t>
            </w:r>
          </w:p>
          <w:p>
            <w:pPr>
              <w:numPr>
                <w:ilvl w:val="0"/>
                <w:numId w:val="5"/>
              </w:numPr>
              <w:tabs>
                <w:tab w:val="left" w:pos="1050"/>
              </w:tabs>
              <w:spacing w:line="320" w:lineRule="exact"/>
              <w:rPr>
                <w:rFonts w:ascii="宋体" w:hAnsi="宋体" w:cs="宋体"/>
                <w:szCs w:val="21"/>
              </w:rPr>
            </w:pPr>
            <w:r>
              <w:rPr>
                <w:rFonts w:hint="eastAsia" w:ascii="宋体" w:hAnsi="宋体" w:cs="宋体"/>
                <w:szCs w:val="21"/>
              </w:rPr>
              <w:t>投标分项报价表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10</w:t>
            </w:r>
          </w:p>
        </w:tc>
        <w:tc>
          <w:tcPr>
            <w:tcW w:w="1666" w:type="dxa"/>
            <w:vAlign w:val="center"/>
          </w:tcPr>
          <w:p>
            <w:pPr>
              <w:autoSpaceDE w:val="0"/>
              <w:autoSpaceDN w:val="0"/>
              <w:rPr>
                <w:rFonts w:ascii="宋体" w:hAnsi="宋体" w:cs="宋体"/>
                <w:szCs w:val="21"/>
              </w:rPr>
            </w:pPr>
            <w:r>
              <w:rPr>
                <w:rFonts w:hint="eastAsia" w:ascii="宋体" w:hAnsi="宋体" w:cs="宋体"/>
                <w:szCs w:val="21"/>
              </w:rPr>
              <w:t>投标文件应答和编写</w:t>
            </w:r>
          </w:p>
        </w:tc>
        <w:tc>
          <w:tcPr>
            <w:tcW w:w="5795" w:type="dxa"/>
            <w:vAlign w:val="center"/>
          </w:tcPr>
          <w:p>
            <w:pPr>
              <w:autoSpaceDE w:val="0"/>
              <w:autoSpaceDN w:val="0"/>
              <w:rPr>
                <w:rFonts w:ascii="宋体" w:hAnsi="宋体" w:cs="宋体"/>
                <w:szCs w:val="21"/>
              </w:rPr>
            </w:pPr>
            <w:r>
              <w:rPr>
                <w:rFonts w:hint="eastAsia" w:hAnsi="宋体"/>
              </w:rPr>
              <w:t>投标人应当认真阅读竞争性磋商文件中所有的事项、格式、条款和技术规范等。投标人没有按照竞争性磋商文件要求递交全部资料或者投标人没有对竞争性磋商文件在各方面都作出实质性响应是投标人的风险，并可能导致其投标被否决。</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11</w:t>
            </w:r>
          </w:p>
        </w:tc>
        <w:tc>
          <w:tcPr>
            <w:tcW w:w="1666" w:type="dxa"/>
            <w:vAlign w:val="center"/>
          </w:tcPr>
          <w:p>
            <w:pPr>
              <w:autoSpaceDE w:val="0"/>
              <w:autoSpaceDN w:val="0"/>
              <w:rPr>
                <w:rFonts w:ascii="宋体" w:hAnsi="宋体" w:cs="宋体"/>
                <w:szCs w:val="21"/>
              </w:rPr>
            </w:pPr>
            <w:r>
              <w:rPr>
                <w:rFonts w:hint="eastAsia" w:ascii="宋体" w:hAnsi="宋体" w:cs="宋体"/>
                <w:szCs w:val="21"/>
              </w:rPr>
              <w:t>投标文件的盖章或者签字</w:t>
            </w:r>
          </w:p>
        </w:tc>
        <w:tc>
          <w:tcPr>
            <w:tcW w:w="5795" w:type="dxa"/>
            <w:vAlign w:val="center"/>
          </w:tcPr>
          <w:p>
            <w:pPr>
              <w:autoSpaceDE w:val="0"/>
              <w:autoSpaceDN w:val="0"/>
              <w:rPr>
                <w:rFonts w:ascii="宋体" w:hAnsi="宋体" w:cs="宋体"/>
                <w:szCs w:val="21"/>
              </w:rPr>
            </w:pPr>
            <w:r>
              <w:rPr>
                <w:rFonts w:hint="eastAsia" w:ascii="宋体" w:hAnsi="宋体" w:cs="宋体"/>
                <w:szCs w:val="21"/>
              </w:rPr>
              <w:t>本条款增加以下规定：</w:t>
            </w:r>
          </w:p>
          <w:p>
            <w:pPr>
              <w:snapToGrid w:val="0"/>
              <w:jc w:val="left"/>
              <w:rPr>
                <w:rFonts w:ascii="宋体" w:hAnsi="宋体" w:cs="宋体"/>
                <w:szCs w:val="21"/>
              </w:rPr>
            </w:pPr>
            <w:r>
              <w:rPr>
                <w:rFonts w:hint="eastAsia" w:ascii="宋体" w:hAnsi="宋体" w:cs="宋体"/>
                <w:szCs w:val="21"/>
              </w:rPr>
              <w:t>（1）投标文件“投标文件格式”中有单位名称和法定代表人或其委托代理人签字落款的投标文件必须加盖单位公章，并由法定代表人或其委托代理人签字。</w:t>
            </w:r>
          </w:p>
          <w:p>
            <w:pPr>
              <w:snapToGrid w:val="0"/>
              <w:jc w:val="left"/>
              <w:rPr>
                <w:rFonts w:ascii="宋体" w:hAnsi="宋体" w:cs="宋体"/>
                <w:szCs w:val="21"/>
              </w:rPr>
            </w:pPr>
            <w:r>
              <w:rPr>
                <w:rFonts w:hint="eastAsia" w:ascii="宋体" w:hAnsi="宋体" w:cs="宋体"/>
                <w:szCs w:val="21"/>
              </w:rPr>
              <w:t>（2）除上述文件以外的其他投标文件组成部分必须加盖骑缝章（骑缝章必须覆盖所有投标文件），或者由法定代表人或者其委托代理人签字。</w:t>
            </w:r>
          </w:p>
          <w:p>
            <w:pPr>
              <w:autoSpaceDE w:val="0"/>
              <w:autoSpaceDN w:val="0"/>
              <w:rPr>
                <w:rFonts w:ascii="宋体" w:hAnsi="宋体" w:cs="宋体"/>
                <w:szCs w:val="21"/>
              </w:rPr>
            </w:pPr>
            <w:r>
              <w:rPr>
                <w:rFonts w:hint="eastAsia" w:ascii="宋体" w:hAnsi="宋体" w:cs="宋体"/>
                <w:szCs w:val="21"/>
              </w:rPr>
              <w:t>（3）如使用投标专用章、业务专用章的，应提供公章对投标专用章、业务专用章的授权说明。</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12</w:t>
            </w:r>
          </w:p>
        </w:tc>
        <w:tc>
          <w:tcPr>
            <w:tcW w:w="1666" w:type="dxa"/>
            <w:vAlign w:val="center"/>
          </w:tcPr>
          <w:p>
            <w:pPr>
              <w:autoSpaceDE w:val="0"/>
              <w:autoSpaceDN w:val="0"/>
              <w:rPr>
                <w:rFonts w:ascii="宋体" w:hAnsi="宋体" w:cs="宋体"/>
                <w:szCs w:val="21"/>
              </w:rPr>
            </w:pPr>
            <w:r>
              <w:rPr>
                <w:rFonts w:hint="eastAsia" w:ascii="宋体" w:hAnsi="宋体"/>
              </w:rPr>
              <w:t>最高投标限价或者其计算方法</w:t>
            </w:r>
          </w:p>
        </w:tc>
        <w:tc>
          <w:tcPr>
            <w:tcW w:w="5795" w:type="dxa"/>
            <w:vAlign w:val="center"/>
          </w:tcPr>
          <w:p>
            <w:pPr>
              <w:autoSpaceDE w:val="0"/>
              <w:autoSpaceDN w:val="0"/>
              <w:rPr>
                <w:rFonts w:ascii="宋体" w:hAnsi="宋体" w:cs="宋体"/>
                <w:szCs w:val="21"/>
                <w:u w:val="single"/>
              </w:rPr>
            </w:pPr>
            <w:r>
              <w:rPr>
                <w:rFonts w:hint="eastAsia" w:ascii="宋体" w:hAnsi="宋体" w:cs="宋体"/>
                <w:szCs w:val="21"/>
              </w:rPr>
              <w:t>设置最高投标限价，具体见公告</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13</w:t>
            </w:r>
          </w:p>
        </w:tc>
        <w:tc>
          <w:tcPr>
            <w:tcW w:w="1666" w:type="dxa"/>
            <w:vAlign w:val="center"/>
          </w:tcPr>
          <w:p>
            <w:pPr>
              <w:autoSpaceDE w:val="0"/>
              <w:autoSpaceDN w:val="0"/>
              <w:rPr>
                <w:rFonts w:ascii="宋体" w:hAnsi="宋体" w:cs="宋体"/>
                <w:szCs w:val="21"/>
              </w:rPr>
            </w:pPr>
            <w:r>
              <w:rPr>
                <w:rFonts w:hint="eastAsia" w:ascii="宋体" w:hAnsi="宋体" w:cs="宋体"/>
                <w:szCs w:val="21"/>
              </w:rPr>
              <w:t>投标报价</w:t>
            </w:r>
            <w:r>
              <w:rPr>
                <w:rFonts w:hint="eastAsia" w:ascii="宋体" w:hAnsi="宋体"/>
              </w:rPr>
              <w:t>优惠条件</w:t>
            </w:r>
          </w:p>
        </w:tc>
        <w:tc>
          <w:tcPr>
            <w:tcW w:w="5795" w:type="dxa"/>
            <w:vAlign w:val="center"/>
          </w:tcPr>
          <w:p>
            <w:pPr>
              <w:autoSpaceDE w:val="0"/>
              <w:autoSpaceDN w:val="0"/>
              <w:rPr>
                <w:rFonts w:ascii="宋体" w:hAnsi="宋体" w:cs="宋体"/>
                <w:szCs w:val="21"/>
                <w:u w:val="single"/>
              </w:rPr>
            </w:pPr>
            <w:r>
              <w:rPr>
                <w:rFonts w:hint="eastAsia" w:ascii="宋体" w:hAnsi="宋体" w:cs="宋体"/>
                <w:szCs w:val="21"/>
              </w:rPr>
              <w:t>不接受报优惠价</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14</w:t>
            </w:r>
          </w:p>
        </w:tc>
        <w:tc>
          <w:tcPr>
            <w:tcW w:w="1666" w:type="dxa"/>
            <w:vAlign w:val="center"/>
          </w:tcPr>
          <w:p>
            <w:pPr>
              <w:autoSpaceDE w:val="0"/>
              <w:autoSpaceDN w:val="0"/>
              <w:rPr>
                <w:rFonts w:ascii="宋体" w:hAnsi="宋体" w:cs="宋体"/>
                <w:szCs w:val="21"/>
              </w:rPr>
            </w:pPr>
            <w:r>
              <w:rPr>
                <w:rFonts w:hint="eastAsia" w:ascii="宋体" w:hAnsi="宋体" w:cs="宋体"/>
                <w:szCs w:val="21"/>
              </w:rPr>
              <w:t>备选投标方案</w:t>
            </w:r>
          </w:p>
        </w:tc>
        <w:tc>
          <w:tcPr>
            <w:tcW w:w="5795" w:type="dxa"/>
            <w:vAlign w:val="center"/>
          </w:tcPr>
          <w:p>
            <w:pPr>
              <w:autoSpaceDE w:val="0"/>
              <w:autoSpaceDN w:val="0"/>
              <w:rPr>
                <w:rFonts w:ascii="宋体" w:hAnsi="宋体" w:cs="宋体"/>
                <w:szCs w:val="21"/>
              </w:rPr>
            </w:pPr>
            <w:r>
              <w:rPr>
                <w:rFonts w:hint="eastAsia" w:ascii="宋体" w:hAnsi="宋体" w:cs="宋体"/>
                <w:szCs w:val="21"/>
              </w:rPr>
              <w:t>不允许</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15</w:t>
            </w:r>
          </w:p>
        </w:tc>
        <w:tc>
          <w:tcPr>
            <w:tcW w:w="1666" w:type="dxa"/>
            <w:vAlign w:val="center"/>
          </w:tcPr>
          <w:p>
            <w:pPr>
              <w:autoSpaceDE w:val="0"/>
              <w:autoSpaceDN w:val="0"/>
              <w:rPr>
                <w:rFonts w:ascii="宋体" w:hAnsi="宋体" w:cs="宋体"/>
                <w:szCs w:val="21"/>
              </w:rPr>
            </w:pPr>
            <w:r>
              <w:rPr>
                <w:rFonts w:hint="eastAsia" w:ascii="宋体" w:hAnsi="宋体" w:cs="宋体"/>
                <w:szCs w:val="21"/>
              </w:rPr>
              <w:t>投标文件份数</w:t>
            </w:r>
          </w:p>
        </w:tc>
        <w:tc>
          <w:tcPr>
            <w:tcW w:w="5795" w:type="dxa"/>
            <w:vAlign w:val="center"/>
          </w:tcPr>
          <w:p>
            <w:pPr>
              <w:autoSpaceDE w:val="0"/>
              <w:autoSpaceDN w:val="0"/>
              <w:rPr>
                <w:rFonts w:ascii="宋体" w:hAnsi="宋体" w:cs="宋体"/>
                <w:szCs w:val="21"/>
              </w:rPr>
            </w:pPr>
            <w:r>
              <w:rPr>
                <w:rFonts w:hint="eastAsia" w:ascii="宋体" w:hAnsi="宋体" w:cs="宋体"/>
                <w:szCs w:val="21"/>
              </w:rPr>
              <w:t>正本一份，副本肆份</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16</w:t>
            </w:r>
          </w:p>
        </w:tc>
        <w:tc>
          <w:tcPr>
            <w:tcW w:w="1666" w:type="dxa"/>
            <w:vAlign w:val="center"/>
          </w:tcPr>
          <w:p>
            <w:pPr>
              <w:autoSpaceDE w:val="0"/>
              <w:autoSpaceDN w:val="0"/>
              <w:rPr>
                <w:rFonts w:ascii="宋体" w:hAnsi="宋体" w:cs="宋体"/>
                <w:szCs w:val="21"/>
              </w:rPr>
            </w:pPr>
            <w:r>
              <w:rPr>
                <w:rFonts w:hint="eastAsia" w:ascii="宋体" w:hAnsi="宋体"/>
              </w:rPr>
              <w:t>投标文件递交截止时间</w:t>
            </w:r>
          </w:p>
        </w:tc>
        <w:tc>
          <w:tcPr>
            <w:tcW w:w="5795" w:type="dxa"/>
            <w:vAlign w:val="center"/>
          </w:tcPr>
          <w:p>
            <w:pPr>
              <w:autoSpaceDE w:val="0"/>
              <w:autoSpaceDN w:val="0"/>
              <w:rPr>
                <w:rFonts w:ascii="宋体" w:hAnsi="宋体" w:cs="宋体"/>
                <w:szCs w:val="21"/>
              </w:rPr>
            </w:pPr>
            <w:r>
              <w:rPr>
                <w:rFonts w:hint="eastAsia" w:ascii="宋体" w:hAnsi="宋体"/>
                <w:szCs w:val="21"/>
                <w:u w:val="single"/>
              </w:rPr>
              <w:t>见公告</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17</w:t>
            </w:r>
          </w:p>
        </w:tc>
        <w:tc>
          <w:tcPr>
            <w:tcW w:w="1666" w:type="dxa"/>
            <w:vAlign w:val="center"/>
          </w:tcPr>
          <w:p>
            <w:pPr>
              <w:autoSpaceDE w:val="0"/>
              <w:autoSpaceDN w:val="0"/>
              <w:rPr>
                <w:rFonts w:ascii="宋体" w:hAnsi="宋体"/>
              </w:rPr>
            </w:pPr>
            <w:r>
              <w:rPr>
                <w:rFonts w:hint="eastAsia" w:ascii="宋体" w:hAnsi="宋体"/>
              </w:rPr>
              <w:t>投标文件递交地点</w:t>
            </w:r>
          </w:p>
        </w:tc>
        <w:tc>
          <w:tcPr>
            <w:tcW w:w="5795" w:type="dxa"/>
            <w:vAlign w:val="center"/>
          </w:tcPr>
          <w:p>
            <w:pPr>
              <w:autoSpaceDE w:val="0"/>
              <w:autoSpaceDN w:val="0"/>
              <w:rPr>
                <w:rFonts w:ascii="宋体" w:hAnsi="宋体" w:cs="宋体"/>
                <w:szCs w:val="21"/>
              </w:rPr>
            </w:pPr>
            <w:r>
              <w:rPr>
                <w:rFonts w:hint="eastAsia" w:ascii="宋体" w:hAnsi="宋体"/>
                <w:szCs w:val="21"/>
                <w:u w:val="single"/>
              </w:rPr>
              <w:t>见公告</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18</w:t>
            </w:r>
          </w:p>
        </w:tc>
        <w:tc>
          <w:tcPr>
            <w:tcW w:w="1666" w:type="dxa"/>
            <w:vAlign w:val="center"/>
          </w:tcPr>
          <w:p>
            <w:pPr>
              <w:autoSpaceDE w:val="0"/>
              <w:autoSpaceDN w:val="0"/>
              <w:rPr>
                <w:rFonts w:ascii="宋体" w:hAnsi="宋体"/>
              </w:rPr>
            </w:pPr>
            <w:r>
              <w:rPr>
                <w:rFonts w:hint="eastAsia" w:ascii="宋体" w:hAnsi="宋体"/>
              </w:rPr>
              <w:t>投标文件退还</w:t>
            </w:r>
          </w:p>
        </w:tc>
        <w:tc>
          <w:tcPr>
            <w:tcW w:w="5795" w:type="dxa"/>
            <w:vAlign w:val="center"/>
          </w:tcPr>
          <w:p>
            <w:pPr>
              <w:autoSpaceDE w:val="0"/>
              <w:autoSpaceDN w:val="0"/>
              <w:rPr>
                <w:rFonts w:ascii="宋体" w:hAnsi="宋体" w:cs="宋体"/>
                <w:szCs w:val="21"/>
              </w:rPr>
            </w:pPr>
            <w:r>
              <w:rPr>
                <w:rFonts w:hint="eastAsia" w:ascii="宋体" w:hAnsi="宋体" w:cs="宋体"/>
                <w:szCs w:val="21"/>
              </w:rPr>
              <w:t>不退还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19</w:t>
            </w:r>
          </w:p>
        </w:tc>
        <w:tc>
          <w:tcPr>
            <w:tcW w:w="1666" w:type="dxa"/>
            <w:vAlign w:val="center"/>
          </w:tcPr>
          <w:p>
            <w:pPr>
              <w:autoSpaceDE w:val="0"/>
              <w:autoSpaceDN w:val="0"/>
              <w:rPr>
                <w:rFonts w:ascii="宋体" w:hAnsi="宋体"/>
              </w:rPr>
            </w:pPr>
            <w:r>
              <w:rPr>
                <w:rFonts w:hint="eastAsia" w:hAnsi="宋体"/>
              </w:rPr>
              <w:t>递交投标文件的投标人不足三家的处理原则</w:t>
            </w:r>
          </w:p>
        </w:tc>
        <w:tc>
          <w:tcPr>
            <w:tcW w:w="5795" w:type="dxa"/>
            <w:vAlign w:val="center"/>
          </w:tcPr>
          <w:p>
            <w:pPr>
              <w:autoSpaceDE w:val="0"/>
              <w:autoSpaceDN w:val="0"/>
              <w:rPr>
                <w:rFonts w:ascii="宋体" w:hAnsi="宋体" w:cs="宋体"/>
                <w:szCs w:val="21"/>
              </w:rPr>
            </w:pPr>
            <w:r>
              <w:rPr>
                <w:rFonts w:hint="eastAsia" w:ascii="宋体" w:hAnsi="宋体" w:cs="宋体"/>
                <w:szCs w:val="21"/>
              </w:rPr>
              <w:t>【唱价时，投标人少于3个的，招标人可对两家合格投标人继续组织评选，或与一家合格投标人定向谈判，或重新组织招标】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20</w:t>
            </w:r>
          </w:p>
        </w:tc>
        <w:tc>
          <w:tcPr>
            <w:tcW w:w="1666" w:type="dxa"/>
            <w:vAlign w:val="center"/>
          </w:tcPr>
          <w:p>
            <w:pPr>
              <w:autoSpaceDE w:val="0"/>
              <w:autoSpaceDN w:val="0"/>
              <w:rPr>
                <w:rFonts w:ascii="宋体" w:hAnsi="宋体" w:cs="宋体"/>
                <w:szCs w:val="21"/>
              </w:rPr>
            </w:pPr>
            <w:r>
              <w:rPr>
                <w:rFonts w:hint="eastAsia" w:ascii="宋体" w:hAnsi="宋体" w:cs="宋体"/>
                <w:szCs w:val="21"/>
              </w:rPr>
              <w:t>唱价时间和地点</w:t>
            </w:r>
          </w:p>
        </w:tc>
        <w:tc>
          <w:tcPr>
            <w:tcW w:w="5795" w:type="dxa"/>
            <w:vAlign w:val="center"/>
          </w:tcPr>
          <w:p>
            <w:pPr>
              <w:autoSpaceDE w:val="0"/>
              <w:autoSpaceDN w:val="0"/>
              <w:rPr>
                <w:rFonts w:ascii="宋体" w:hAnsi="宋体" w:cs="宋体"/>
                <w:szCs w:val="21"/>
              </w:rPr>
            </w:pPr>
            <w:r>
              <w:rPr>
                <w:rFonts w:hint="eastAsia" w:ascii="宋体" w:hAnsi="宋体" w:cs="宋体"/>
                <w:szCs w:val="21"/>
              </w:rPr>
              <w:t>同投标文件递交截止时间和地点。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szCs w:val="21"/>
              </w:rPr>
            </w:pPr>
            <w:r>
              <w:rPr>
                <w:rFonts w:hint="eastAsia" w:ascii="宋体" w:hAnsi="宋体" w:cs="宋体"/>
                <w:szCs w:val="21"/>
              </w:rPr>
              <w:t xml:space="preserve">21 </w:t>
            </w:r>
          </w:p>
        </w:tc>
        <w:tc>
          <w:tcPr>
            <w:tcW w:w="1666" w:type="dxa"/>
            <w:vAlign w:val="center"/>
          </w:tcPr>
          <w:p>
            <w:pPr>
              <w:autoSpaceDE w:val="0"/>
              <w:autoSpaceDN w:val="0"/>
              <w:rPr>
                <w:rFonts w:ascii="宋体" w:hAnsi="宋体" w:cs="宋体"/>
                <w:szCs w:val="21"/>
              </w:rPr>
            </w:pPr>
            <w:r>
              <w:rPr>
                <w:rFonts w:hint="eastAsia" w:ascii="宋体" w:hAnsi="宋体" w:cs="宋体"/>
                <w:szCs w:val="21"/>
              </w:rPr>
              <w:t>中选候选人推荐原则</w:t>
            </w:r>
          </w:p>
        </w:tc>
        <w:tc>
          <w:tcPr>
            <w:tcW w:w="5795" w:type="dxa"/>
            <w:vAlign w:val="center"/>
          </w:tcPr>
          <w:p>
            <w:pPr>
              <w:autoSpaceDE w:val="0"/>
              <w:autoSpaceDN w:val="0"/>
              <w:rPr>
                <w:rFonts w:ascii="宋体" w:hAnsi="宋体" w:cs="宋体"/>
                <w:szCs w:val="21"/>
              </w:rPr>
            </w:pPr>
            <w:bookmarkStart w:id="21" w:name="_Toc346159396"/>
            <w:r>
              <w:rPr>
                <w:rFonts w:hint="eastAsia" w:ascii="宋体" w:hAnsi="宋体"/>
                <w:szCs w:val="21"/>
              </w:rPr>
              <w:t>推荐原则如下：</w:t>
            </w:r>
            <w:bookmarkEnd w:id="21"/>
            <w:r>
              <w:rPr>
                <w:rFonts w:hint="eastAsia" w:ascii="宋体" w:hAnsi="宋体"/>
                <w:szCs w:val="21"/>
              </w:rPr>
              <w:t>按照综合得分高低排序，中选候选人1名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22</w:t>
            </w:r>
          </w:p>
        </w:tc>
        <w:tc>
          <w:tcPr>
            <w:tcW w:w="1666" w:type="dxa"/>
            <w:vAlign w:val="center"/>
          </w:tcPr>
          <w:p>
            <w:pPr>
              <w:autoSpaceDE w:val="0"/>
              <w:autoSpaceDN w:val="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中选人数量</w:t>
            </w:r>
          </w:p>
        </w:tc>
        <w:tc>
          <w:tcPr>
            <w:tcW w:w="5795" w:type="dxa"/>
            <w:vAlign w:val="center"/>
          </w:tcPr>
          <w:p>
            <w:pPr>
              <w:autoSpaceDE w:val="0"/>
              <w:autoSpaceDN w:val="0"/>
              <w:rPr>
                <w:rFonts w:ascii="宋体" w:hAnsi="宋体" w:cs="宋体"/>
                <w:color w:val="000000" w:themeColor="text1"/>
                <w:szCs w:val="21"/>
                <w14:textFill>
                  <w14:solidFill>
                    <w14:schemeClr w14:val="tx1"/>
                  </w14:solidFill>
                </w14:textFill>
              </w:rPr>
            </w:pPr>
            <w:r>
              <w:rPr>
                <w:rFonts w:hint="eastAsia" w:ascii="宋体" w:hAnsi="宋体"/>
                <w:color w:val="000000" w:themeColor="text1"/>
                <w14:textFill>
                  <w14:solidFill>
                    <w14:schemeClr w14:val="tx1"/>
                  </w14:solidFill>
                </w14:textFill>
              </w:rPr>
              <w:t>中选人数量：</w:t>
            </w:r>
            <w:r>
              <w:rPr>
                <w:rFonts w:hint="eastAsia" w:ascii="宋体" w:hAnsi="宋体"/>
                <w:color w:val="000000" w:themeColor="text1"/>
                <w:szCs w:val="21"/>
                <w14:textFill>
                  <w14:solidFill>
                    <w14:schemeClr w14:val="tx1"/>
                  </w14:solidFill>
                </w14:textFill>
              </w:rPr>
              <w:t>1名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28" w:type="dxa"/>
            <w:bottom w:w="0" w:type="dxa"/>
            <w:right w:w="28" w:type="dxa"/>
          </w:tblCellMar>
        </w:tblPrEx>
        <w:trPr>
          <w:trHeight w:val="600" w:hRule="atLeast"/>
        </w:trPr>
        <w:tc>
          <w:tcPr>
            <w:tcW w:w="840" w:type="dxa"/>
            <w:vAlign w:val="center"/>
          </w:tcPr>
          <w:p>
            <w:pPr>
              <w:autoSpaceDE w:val="0"/>
              <w:autoSpaceDN w:val="0"/>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23</w:t>
            </w:r>
          </w:p>
        </w:tc>
        <w:tc>
          <w:tcPr>
            <w:tcW w:w="1666" w:type="dxa"/>
            <w:vAlign w:val="center"/>
          </w:tcPr>
          <w:p>
            <w:pPr>
              <w:autoSpaceDE w:val="0"/>
              <w:autoSpaceDN w:val="0"/>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中选原则</w:t>
            </w:r>
          </w:p>
        </w:tc>
        <w:tc>
          <w:tcPr>
            <w:tcW w:w="5795" w:type="dxa"/>
            <w:vAlign w:val="center"/>
          </w:tcPr>
          <w:p>
            <w:pPr>
              <w:autoSpaceDE w:val="0"/>
              <w:autoSpaceDN w:val="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中选原则如下：</w:t>
            </w:r>
          </w:p>
          <w:p>
            <w:pPr>
              <w:autoSpaceDE w:val="0"/>
              <w:autoSpaceDN w:val="0"/>
              <w:rPr>
                <w:rFonts w:ascii="宋体" w:hAnsi="宋体" w:cs="宋体"/>
                <w:color w:val="000000" w:themeColor="text1"/>
                <w:szCs w:val="21"/>
                <w14:textFill>
                  <w14:solidFill>
                    <w14:schemeClr w14:val="tx1"/>
                  </w14:solidFill>
                </w14:textFill>
              </w:rPr>
            </w:pPr>
            <w:r>
              <w:rPr>
                <w:rFonts w:hint="eastAsia" w:hAnsi="宋体"/>
              </w:rPr>
              <w:t>招标人根据评选委员会推荐的中选候选人名单排序依次确定中选人</w:t>
            </w:r>
          </w:p>
        </w:tc>
      </w:tr>
    </w:tbl>
    <w:p>
      <w:pPr>
        <w:pStyle w:val="35"/>
        <w:tabs>
          <w:tab w:val="left" w:pos="602"/>
        </w:tabs>
        <w:snapToGrid w:val="0"/>
        <w:spacing w:before="120" w:after="120" w:line="440" w:lineRule="exact"/>
        <w:jc w:val="left"/>
        <w:rPr>
          <w:rFonts w:ascii="宋体" w:hAnsi="宋体"/>
          <w:sz w:val="28"/>
          <w:szCs w:val="28"/>
        </w:rPr>
        <w:sectPr>
          <w:footerReference r:id="rId8" w:type="first"/>
          <w:footerReference r:id="rId7" w:type="default"/>
          <w:pgSz w:w="11906" w:h="16838"/>
          <w:pgMar w:top="1440" w:right="1800" w:bottom="1440" w:left="1800" w:header="851" w:footer="992" w:gutter="0"/>
          <w:cols w:space="720" w:num="1"/>
          <w:titlePg/>
          <w:docGrid w:type="lines" w:linePitch="312" w:charSpace="0"/>
        </w:sectPr>
      </w:pPr>
      <w:bookmarkStart w:id="22" w:name="_Toc447188667"/>
      <w:bookmarkStart w:id="23" w:name="_Toc227057885"/>
      <w:bookmarkStart w:id="24" w:name="_Toc226969278"/>
      <w:bookmarkStart w:id="25" w:name="_Toc107822484"/>
      <w:bookmarkStart w:id="26" w:name="_Toc488655831"/>
    </w:p>
    <w:p>
      <w:pPr>
        <w:pStyle w:val="35"/>
        <w:numPr>
          <w:ilvl w:val="0"/>
          <w:numId w:val="6"/>
        </w:numPr>
        <w:tabs>
          <w:tab w:val="left" w:pos="602"/>
        </w:tabs>
        <w:snapToGrid w:val="0"/>
        <w:spacing w:before="120" w:after="120" w:line="440" w:lineRule="exact"/>
        <w:ind w:left="0" w:firstLine="0"/>
        <w:jc w:val="left"/>
        <w:rPr>
          <w:rFonts w:ascii="宋体" w:hAnsi="宋体"/>
          <w:sz w:val="28"/>
          <w:szCs w:val="28"/>
        </w:rPr>
      </w:pPr>
      <w:bookmarkStart w:id="27" w:name="_Toc3278"/>
      <w:bookmarkStart w:id="28" w:name="_Toc28007"/>
      <w:bookmarkStart w:id="29" w:name="_Toc12017903"/>
      <w:bookmarkStart w:id="30" w:name="_Toc4488"/>
      <w:bookmarkStart w:id="31" w:name="_Toc447265216"/>
      <w:bookmarkStart w:id="32" w:name="_Toc7852"/>
      <w:bookmarkStart w:id="33" w:name="_Toc447265502"/>
      <w:r>
        <w:rPr>
          <w:rFonts w:hint="eastAsia" w:ascii="宋体" w:hAnsi="宋体"/>
          <w:sz w:val="28"/>
          <w:szCs w:val="28"/>
        </w:rPr>
        <w:t>总则</w:t>
      </w:r>
      <w:bookmarkEnd w:id="22"/>
      <w:bookmarkEnd w:id="27"/>
      <w:bookmarkEnd w:id="28"/>
      <w:bookmarkEnd w:id="29"/>
      <w:bookmarkEnd w:id="30"/>
      <w:bookmarkEnd w:id="31"/>
      <w:bookmarkEnd w:id="32"/>
      <w:bookmarkEnd w:id="33"/>
    </w:p>
    <w:p>
      <w:pPr>
        <w:pStyle w:val="35"/>
        <w:tabs>
          <w:tab w:val="left" w:pos="588"/>
        </w:tabs>
        <w:snapToGrid w:val="0"/>
        <w:spacing w:before="120" w:after="120" w:line="440" w:lineRule="exact"/>
        <w:jc w:val="left"/>
        <w:rPr>
          <w:rFonts w:ascii="宋体" w:hAnsi="宋体"/>
          <w:sz w:val="24"/>
          <w:szCs w:val="24"/>
        </w:rPr>
      </w:pPr>
      <w:bookmarkStart w:id="34" w:name="_Toc144974498"/>
      <w:bookmarkStart w:id="35" w:name="_Toc12017904"/>
      <w:bookmarkStart w:id="36" w:name="_Toc13088"/>
      <w:bookmarkStart w:id="37" w:name="_Toc7743"/>
      <w:bookmarkStart w:id="38" w:name="_Toc296602421"/>
      <w:bookmarkStart w:id="39" w:name="_Toc5606"/>
      <w:bookmarkStart w:id="40" w:name="_Toc447188668"/>
      <w:bookmarkStart w:id="41" w:name="_Toc179632547"/>
      <w:bookmarkStart w:id="42" w:name="_Toc2652"/>
      <w:bookmarkStart w:id="43" w:name="_Toc246996176"/>
      <w:bookmarkStart w:id="44" w:name="_Toc447265217"/>
      <w:bookmarkStart w:id="45" w:name="_Toc246996919"/>
      <w:bookmarkStart w:id="46" w:name="_Toc447265503"/>
      <w:bookmarkStart w:id="47" w:name="_Toc152042306"/>
      <w:bookmarkStart w:id="48" w:name="_Toc247085690"/>
      <w:bookmarkStart w:id="49" w:name="_Toc152045530"/>
      <w:r>
        <w:rPr>
          <w:rFonts w:hint="eastAsia" w:ascii="宋体" w:hAnsi="宋体"/>
          <w:sz w:val="24"/>
          <w:szCs w:val="24"/>
        </w:rPr>
        <w:t>1.1项目概况</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bookmarkEnd w:id="23"/>
    <w:bookmarkEnd w:id="24"/>
    <w:p>
      <w:pPr>
        <w:pStyle w:val="21"/>
        <w:tabs>
          <w:tab w:val="left" w:pos="630"/>
        </w:tabs>
        <w:snapToGrid w:val="0"/>
        <w:spacing w:line="440" w:lineRule="exact"/>
        <w:ind w:firstLine="424" w:firstLineChars="202"/>
        <w:rPr>
          <w:rFonts w:hAnsi="宋体" w:cs="宋体"/>
        </w:rPr>
      </w:pPr>
      <w:bookmarkStart w:id="50" w:name="_Toc1831"/>
      <w:bookmarkStart w:id="51" w:name="_Toc447188670"/>
      <w:bookmarkStart w:id="52" w:name="_Toc14894"/>
      <w:bookmarkStart w:id="53" w:name="_Toc12017905"/>
      <w:bookmarkStart w:id="54" w:name="_Toc447265505"/>
      <w:bookmarkStart w:id="55" w:name="_Toc29632"/>
      <w:bookmarkStart w:id="56" w:name="_Toc447265219"/>
      <w:bookmarkStart w:id="57" w:name="_Toc30826"/>
      <w:r>
        <w:rPr>
          <w:rFonts w:hint="eastAsia" w:hAnsi="宋体"/>
        </w:rPr>
        <w:t>1.</w:t>
      </w:r>
      <w:r>
        <w:rPr>
          <w:rFonts w:hAnsi="宋体"/>
        </w:rPr>
        <w:t>1.1</w:t>
      </w:r>
      <w:r>
        <w:rPr>
          <w:rFonts w:hint="eastAsia" w:hAnsi="宋体"/>
        </w:rPr>
        <w:t>本磋商项目已具备磋商条件，现对本项目进行磋商。</w:t>
      </w:r>
    </w:p>
    <w:p>
      <w:pPr>
        <w:pStyle w:val="21"/>
        <w:tabs>
          <w:tab w:val="left" w:pos="630"/>
        </w:tabs>
        <w:snapToGrid w:val="0"/>
        <w:spacing w:line="440" w:lineRule="exact"/>
        <w:ind w:firstLine="424" w:firstLineChars="202"/>
        <w:rPr>
          <w:rFonts w:hAnsi="宋体"/>
        </w:rPr>
      </w:pPr>
      <w:r>
        <w:rPr>
          <w:rFonts w:hAnsi="宋体"/>
        </w:rPr>
        <w:t>1.1.2</w:t>
      </w:r>
      <w:r>
        <w:rPr>
          <w:rFonts w:hint="eastAsia" w:hAnsi="宋体"/>
        </w:rPr>
        <w:t>招标人：大数据发展集团有限公司。</w:t>
      </w:r>
    </w:p>
    <w:p>
      <w:pPr>
        <w:pStyle w:val="21"/>
        <w:tabs>
          <w:tab w:val="left" w:pos="630"/>
        </w:tabs>
        <w:snapToGrid w:val="0"/>
        <w:spacing w:line="440" w:lineRule="exact"/>
        <w:ind w:firstLine="424" w:firstLineChars="202"/>
        <w:rPr>
          <w:rFonts w:hAnsi="宋体"/>
        </w:rPr>
      </w:pPr>
      <w:r>
        <w:rPr>
          <w:rFonts w:hint="eastAsia" w:hAnsi="宋体"/>
        </w:rPr>
        <w:t>1</w:t>
      </w:r>
      <w:r>
        <w:rPr>
          <w:rFonts w:hAnsi="宋体"/>
        </w:rPr>
        <w:t>.1</w:t>
      </w:r>
      <w:r>
        <w:rPr>
          <w:rFonts w:hint="eastAsia" w:hAnsi="宋体"/>
        </w:rPr>
        <w:t>.3项目名称：</w:t>
      </w:r>
      <w:r>
        <w:rPr>
          <w:rFonts w:hint="eastAsia" w:hAnsi="宋体" w:cs="宋体"/>
          <w:szCs w:val="21"/>
        </w:rPr>
        <w:t>智慧旅游后端硬件系统项目</w:t>
      </w:r>
      <w:r>
        <w:rPr>
          <w:rFonts w:hint="eastAsia" w:hAnsi="宋体"/>
        </w:rPr>
        <w:t>。</w:t>
      </w:r>
    </w:p>
    <w:p>
      <w:pPr>
        <w:pStyle w:val="35"/>
        <w:tabs>
          <w:tab w:val="left" w:pos="588"/>
        </w:tabs>
        <w:snapToGrid w:val="0"/>
        <w:spacing w:before="120" w:after="120" w:line="440" w:lineRule="exact"/>
        <w:jc w:val="left"/>
        <w:rPr>
          <w:rFonts w:ascii="宋体" w:hAnsi="宋体"/>
          <w:sz w:val="24"/>
          <w:szCs w:val="24"/>
        </w:rPr>
      </w:pPr>
      <w:r>
        <w:rPr>
          <w:rFonts w:hint="eastAsia" w:ascii="宋体" w:hAnsi="宋体"/>
          <w:sz w:val="24"/>
          <w:szCs w:val="24"/>
        </w:rPr>
        <w:t>1.2</w:t>
      </w:r>
      <w:bookmarkEnd w:id="50"/>
      <w:bookmarkEnd w:id="51"/>
      <w:bookmarkEnd w:id="52"/>
      <w:bookmarkEnd w:id="53"/>
      <w:bookmarkEnd w:id="54"/>
      <w:bookmarkEnd w:id="55"/>
      <w:bookmarkEnd w:id="56"/>
      <w:bookmarkEnd w:id="57"/>
      <w:r>
        <w:rPr>
          <w:rFonts w:hint="eastAsia" w:ascii="宋体" w:hAnsi="宋体"/>
          <w:sz w:val="24"/>
          <w:szCs w:val="24"/>
        </w:rPr>
        <w:t>项目需求</w:t>
      </w:r>
    </w:p>
    <w:bookmarkEnd w:id="25"/>
    <w:p>
      <w:pPr>
        <w:pStyle w:val="21"/>
        <w:tabs>
          <w:tab w:val="left" w:pos="630"/>
        </w:tabs>
        <w:snapToGrid w:val="0"/>
        <w:spacing w:line="440" w:lineRule="exact"/>
        <w:ind w:firstLine="424" w:firstLineChars="202"/>
        <w:rPr>
          <w:rFonts w:hAnsi="宋体"/>
          <w:b/>
        </w:rPr>
      </w:pPr>
      <w:bookmarkStart w:id="58" w:name="_Toc49366800"/>
      <w:bookmarkStart w:id="59" w:name="_Toc12017906"/>
      <w:bookmarkStart w:id="60" w:name="_Toc29692"/>
      <w:bookmarkStart w:id="61" w:name="_Toc29662"/>
      <w:bookmarkStart w:id="62" w:name="_Toc447265507"/>
      <w:bookmarkStart w:id="63" w:name="_Toc227057888"/>
      <w:bookmarkStart w:id="64" w:name="_Toc447265221"/>
      <w:bookmarkStart w:id="65" w:name="_Toc447188672"/>
      <w:bookmarkStart w:id="66" w:name="_Toc226969281"/>
      <w:bookmarkStart w:id="67" w:name="_Toc11844"/>
      <w:bookmarkStart w:id="68" w:name="_Toc107822486"/>
      <w:bookmarkStart w:id="69" w:name="_Toc13205"/>
      <w:r>
        <w:rPr>
          <w:rFonts w:hint="eastAsia" w:hAnsi="宋体"/>
        </w:rPr>
        <w:t>1.2.1、</w:t>
      </w:r>
      <w:bookmarkEnd w:id="58"/>
      <w:r>
        <w:rPr>
          <w:rFonts w:hint="eastAsia" w:hAnsi="宋体"/>
          <w:b/>
        </w:rPr>
        <w:t>多媒体信息显示系统</w:t>
      </w:r>
    </w:p>
    <w:p>
      <w:pPr>
        <w:pStyle w:val="21"/>
        <w:tabs>
          <w:tab w:val="left" w:pos="630"/>
        </w:tabs>
        <w:snapToGrid w:val="0"/>
        <w:spacing w:line="440" w:lineRule="exact"/>
        <w:ind w:firstLine="424" w:firstLineChars="202"/>
        <w:rPr>
          <w:rFonts w:hAnsi="宋体"/>
        </w:rPr>
      </w:pPr>
      <w:r>
        <w:rPr>
          <w:rFonts w:hint="eastAsia" w:hAnsi="宋体"/>
        </w:rPr>
        <w:t>利用先进的LED显示技术、通讯技术，逐步建成集资源推介、旅游资讯、公益宣传为一体的景区LED大屏幕信息联播系统，整合行业旅游资源，实现景区客源最大化共享，加强行业整体宣传力度。</w:t>
      </w:r>
    </w:p>
    <w:p>
      <w:pPr>
        <w:pStyle w:val="21"/>
        <w:tabs>
          <w:tab w:val="left" w:pos="630"/>
        </w:tabs>
        <w:snapToGrid w:val="0"/>
        <w:spacing w:line="440" w:lineRule="exact"/>
        <w:ind w:firstLine="424" w:firstLineChars="202"/>
        <w:rPr>
          <w:rFonts w:hAnsi="宋体"/>
        </w:rPr>
      </w:pPr>
      <w:r>
        <w:rPr>
          <w:rFonts w:hint="eastAsia" w:hAnsi="宋体"/>
        </w:rPr>
        <w:t>联播系统包括播放控制中心、传输、数据接收、LED发布等四部分。通过通讯技术，在景区搭建一个行业宣传组播网络，播放控制中心。</w:t>
      </w:r>
    </w:p>
    <w:p>
      <w:pPr>
        <w:pStyle w:val="21"/>
        <w:tabs>
          <w:tab w:val="left" w:pos="630"/>
        </w:tabs>
        <w:snapToGrid w:val="0"/>
        <w:spacing w:line="440" w:lineRule="exact"/>
        <w:ind w:firstLine="424" w:firstLineChars="202"/>
        <w:rPr>
          <w:rFonts w:hAnsi="宋体"/>
        </w:rPr>
      </w:pPr>
    </w:p>
    <w:p>
      <w:pPr>
        <w:pStyle w:val="21"/>
        <w:tabs>
          <w:tab w:val="left" w:pos="630"/>
        </w:tabs>
        <w:snapToGrid w:val="0"/>
        <w:spacing w:line="440" w:lineRule="exact"/>
        <w:ind w:firstLine="424" w:firstLineChars="202"/>
        <w:rPr>
          <w:rFonts w:hAnsi="宋体"/>
          <w:b/>
        </w:rPr>
      </w:pPr>
      <w:bookmarkStart w:id="70" w:name="_Toc49366801"/>
      <w:r>
        <w:rPr>
          <w:rFonts w:hint="eastAsia" w:hAnsi="宋体"/>
        </w:rPr>
        <w:t>1.2.2、</w:t>
      </w:r>
      <w:r>
        <w:rPr>
          <w:rFonts w:hint="eastAsia" w:hAnsi="宋体"/>
          <w:b/>
        </w:rPr>
        <w:t xml:space="preserve">智能语音播放系统 </w:t>
      </w:r>
      <w:bookmarkEnd w:id="70"/>
    </w:p>
    <w:p>
      <w:pPr>
        <w:pStyle w:val="21"/>
        <w:tabs>
          <w:tab w:val="left" w:pos="630"/>
        </w:tabs>
        <w:snapToGrid w:val="0"/>
        <w:spacing w:line="440" w:lineRule="exact"/>
        <w:ind w:firstLine="424" w:firstLineChars="202"/>
        <w:rPr>
          <w:rFonts w:hAnsi="宋体"/>
        </w:rPr>
      </w:pPr>
      <w:r>
        <w:rPr>
          <w:rFonts w:hint="eastAsia" w:hAnsi="宋体"/>
        </w:rPr>
        <w:t>建立智能广播模块的目的包括两个方面：一方面解决景区内游客紧急疏散、工作人员统一指挥调度时的信息广播要求；另一方面实现景区内分区域的日常信息发布、背景音乐播放等服务。</w:t>
      </w:r>
    </w:p>
    <w:p>
      <w:pPr>
        <w:pStyle w:val="21"/>
        <w:tabs>
          <w:tab w:val="left" w:pos="630"/>
        </w:tabs>
        <w:snapToGrid w:val="0"/>
        <w:spacing w:line="440" w:lineRule="exact"/>
        <w:ind w:firstLine="424" w:firstLineChars="202"/>
        <w:rPr>
          <w:rFonts w:hAnsi="宋体"/>
        </w:rPr>
      </w:pPr>
      <w:r>
        <w:rPr>
          <w:rFonts w:hint="eastAsia" w:hAnsi="宋体"/>
        </w:rPr>
        <w:t>该系统的主要组成包括：</w:t>
      </w:r>
    </w:p>
    <w:p>
      <w:pPr>
        <w:pStyle w:val="21"/>
        <w:tabs>
          <w:tab w:val="left" w:pos="630"/>
        </w:tabs>
        <w:snapToGrid w:val="0"/>
        <w:spacing w:line="440" w:lineRule="exact"/>
        <w:ind w:firstLine="424" w:firstLineChars="202"/>
        <w:rPr>
          <w:rFonts w:hAnsi="宋体"/>
        </w:rPr>
      </w:pPr>
      <w:r>
        <w:rPr>
          <w:rFonts w:hint="eastAsia" w:hAnsi="宋体"/>
        </w:rPr>
        <w:t>①前端系统</w:t>
      </w:r>
    </w:p>
    <w:p>
      <w:pPr>
        <w:pStyle w:val="21"/>
        <w:tabs>
          <w:tab w:val="left" w:pos="630"/>
        </w:tabs>
        <w:snapToGrid w:val="0"/>
        <w:spacing w:line="440" w:lineRule="exact"/>
        <w:ind w:firstLine="424" w:firstLineChars="202"/>
        <w:rPr>
          <w:rFonts w:hAnsi="宋体"/>
        </w:rPr>
      </w:pPr>
      <w:r>
        <w:rPr>
          <w:rFonts w:hint="eastAsia" w:hAnsi="宋体"/>
        </w:rPr>
        <w:t>②数据传输</w:t>
      </w:r>
    </w:p>
    <w:p>
      <w:pPr>
        <w:pStyle w:val="21"/>
        <w:tabs>
          <w:tab w:val="left" w:pos="630"/>
        </w:tabs>
        <w:snapToGrid w:val="0"/>
        <w:spacing w:line="440" w:lineRule="exact"/>
        <w:ind w:firstLine="424" w:firstLineChars="202"/>
        <w:rPr>
          <w:rFonts w:hAnsi="宋体"/>
        </w:rPr>
      </w:pPr>
      <w:r>
        <w:rPr>
          <w:rFonts w:hint="eastAsia" w:hAnsi="宋体"/>
        </w:rPr>
        <w:t>③接收部分</w:t>
      </w:r>
    </w:p>
    <w:p>
      <w:pPr>
        <w:pStyle w:val="21"/>
        <w:tabs>
          <w:tab w:val="left" w:pos="630"/>
        </w:tabs>
        <w:snapToGrid w:val="0"/>
        <w:spacing w:line="440" w:lineRule="exact"/>
        <w:ind w:firstLine="424" w:firstLineChars="202"/>
        <w:rPr>
          <w:rFonts w:hAnsi="宋体"/>
        </w:rPr>
      </w:pPr>
      <w:r>
        <w:rPr>
          <w:rFonts w:hint="eastAsia" w:hAnsi="宋体"/>
        </w:rPr>
        <w:t>④智能广播系统功能</w:t>
      </w:r>
    </w:p>
    <w:p>
      <w:pPr>
        <w:pStyle w:val="21"/>
        <w:tabs>
          <w:tab w:val="left" w:pos="630"/>
        </w:tabs>
        <w:snapToGrid w:val="0"/>
        <w:spacing w:line="440" w:lineRule="exact"/>
        <w:ind w:firstLine="424" w:firstLineChars="202"/>
        <w:rPr>
          <w:rFonts w:hAnsi="宋体"/>
        </w:rPr>
      </w:pPr>
      <w:bookmarkStart w:id="71" w:name="_Toc514513401"/>
      <w:bookmarkStart w:id="72" w:name="_Toc49366812"/>
      <w:bookmarkStart w:id="73" w:name="_Toc49366813"/>
      <w:r>
        <w:rPr>
          <w:rFonts w:hint="eastAsia" w:hAnsi="宋体"/>
        </w:rPr>
        <w:t>1.2.3、</w:t>
      </w:r>
      <w:r>
        <w:rPr>
          <w:rFonts w:hint="eastAsia" w:hAnsi="宋体"/>
          <w:b/>
        </w:rPr>
        <w:t>票务管理</w:t>
      </w:r>
      <w:bookmarkEnd w:id="71"/>
      <w:r>
        <w:rPr>
          <w:rFonts w:hint="eastAsia" w:hAnsi="宋体"/>
          <w:b/>
        </w:rPr>
        <w:t>平台</w:t>
      </w:r>
      <w:bookmarkEnd w:id="72"/>
    </w:p>
    <w:p>
      <w:pPr>
        <w:pStyle w:val="21"/>
        <w:tabs>
          <w:tab w:val="left" w:pos="630"/>
        </w:tabs>
        <w:snapToGrid w:val="0"/>
        <w:spacing w:line="440" w:lineRule="exact"/>
        <w:ind w:firstLine="424" w:firstLineChars="202"/>
        <w:rPr>
          <w:rFonts w:hAnsi="宋体"/>
        </w:rPr>
      </w:pPr>
      <w:r>
        <w:rPr>
          <w:rFonts w:hint="eastAsia" w:hAnsi="宋体"/>
        </w:rPr>
        <w:t>景区电子票务系统</w:t>
      </w:r>
      <w:bookmarkEnd w:id="73"/>
    </w:p>
    <w:p>
      <w:pPr>
        <w:pStyle w:val="21"/>
        <w:tabs>
          <w:tab w:val="left" w:pos="630"/>
        </w:tabs>
        <w:snapToGrid w:val="0"/>
        <w:spacing w:line="440" w:lineRule="exact"/>
        <w:ind w:firstLine="424" w:firstLineChars="202"/>
        <w:rPr>
          <w:rFonts w:hAnsi="宋体"/>
        </w:rPr>
      </w:pPr>
      <w:r>
        <w:rPr>
          <w:rFonts w:hint="eastAsia" w:hAnsi="宋体"/>
        </w:rPr>
        <w:t>本次电子票务系统的方案，包括门票选型，管理模式和软件功能的选配，系统网络架构，售票方式和售票设备的选型，检票通道设备选型和配比，应急预案等几个方面。</w:t>
      </w:r>
      <w:bookmarkStart w:id="74" w:name="_Toc518895488"/>
      <w:bookmarkEnd w:id="74"/>
      <w:bookmarkStart w:id="75" w:name="_Toc498524649"/>
      <w:bookmarkEnd w:id="75"/>
      <w:bookmarkStart w:id="76" w:name="_Toc501096323"/>
      <w:bookmarkEnd w:id="76"/>
      <w:bookmarkStart w:id="77" w:name="_Toc518372490"/>
      <w:bookmarkEnd w:id="77"/>
      <w:bookmarkStart w:id="78" w:name="_Toc509585658"/>
      <w:bookmarkEnd w:id="78"/>
      <w:bookmarkStart w:id="79" w:name="_Toc501027198"/>
      <w:bookmarkEnd w:id="79"/>
      <w:bookmarkStart w:id="80" w:name="_Toc512010724"/>
      <w:bookmarkEnd w:id="80"/>
      <w:bookmarkStart w:id="81" w:name="_Toc501027406"/>
      <w:bookmarkEnd w:id="81"/>
      <w:bookmarkStart w:id="82" w:name="_Toc509046096"/>
      <w:bookmarkEnd w:id="82"/>
      <w:bookmarkStart w:id="83" w:name="_Toc518645722"/>
      <w:bookmarkEnd w:id="83"/>
      <w:bookmarkStart w:id="84" w:name="_Toc512070040"/>
      <w:bookmarkEnd w:id="84"/>
      <w:bookmarkStart w:id="85" w:name="_Toc518494799"/>
      <w:bookmarkEnd w:id="85"/>
      <w:bookmarkStart w:id="86" w:name="_Toc518751974"/>
      <w:bookmarkEnd w:id="86"/>
      <w:bookmarkStart w:id="87" w:name="_Toc518751371"/>
      <w:bookmarkEnd w:id="87"/>
      <w:bookmarkStart w:id="88" w:name="_Toc498524656"/>
      <w:bookmarkEnd w:id="88"/>
      <w:bookmarkStart w:id="89" w:name="_Toc518491780"/>
      <w:bookmarkEnd w:id="89"/>
      <w:bookmarkStart w:id="90" w:name="_Toc512070047"/>
      <w:bookmarkEnd w:id="90"/>
      <w:bookmarkStart w:id="91" w:name="_Toc518372497"/>
      <w:bookmarkEnd w:id="91"/>
      <w:bookmarkStart w:id="92" w:name="_Toc518337557"/>
      <w:bookmarkEnd w:id="92"/>
      <w:bookmarkStart w:id="93" w:name="_Toc518328398"/>
      <w:bookmarkEnd w:id="93"/>
      <w:bookmarkStart w:id="94" w:name="_Toc724"/>
      <w:bookmarkEnd w:id="94"/>
      <w:bookmarkStart w:id="95" w:name="_Toc518328205"/>
      <w:bookmarkEnd w:id="95"/>
      <w:bookmarkStart w:id="96" w:name="_Toc518335107"/>
      <w:bookmarkEnd w:id="96"/>
      <w:bookmarkStart w:id="97" w:name="_Toc16683"/>
      <w:bookmarkEnd w:id="97"/>
      <w:bookmarkStart w:id="98" w:name="_Toc518335100"/>
      <w:bookmarkEnd w:id="98"/>
      <w:bookmarkStart w:id="99" w:name="_Toc518334262"/>
      <w:bookmarkEnd w:id="99"/>
      <w:bookmarkStart w:id="100" w:name="_Toc518645729"/>
      <w:bookmarkEnd w:id="100"/>
      <w:bookmarkStart w:id="101" w:name="_Toc518328391"/>
      <w:bookmarkEnd w:id="101"/>
      <w:bookmarkStart w:id="102" w:name="_Toc512010731"/>
      <w:bookmarkEnd w:id="102"/>
      <w:bookmarkStart w:id="103" w:name="_Toc501027413"/>
      <w:bookmarkEnd w:id="103"/>
      <w:bookmarkStart w:id="104" w:name="_Toc518751981"/>
      <w:bookmarkEnd w:id="104"/>
      <w:bookmarkStart w:id="105" w:name="_Toc501096316"/>
      <w:bookmarkEnd w:id="105"/>
      <w:bookmarkStart w:id="106" w:name="_Toc518335326"/>
      <w:bookmarkEnd w:id="106"/>
      <w:bookmarkStart w:id="107" w:name="_Toc20213"/>
      <w:bookmarkEnd w:id="107"/>
      <w:bookmarkStart w:id="108" w:name="_Toc518491787"/>
      <w:bookmarkEnd w:id="108"/>
      <w:bookmarkStart w:id="109" w:name="_Toc501027205"/>
      <w:bookmarkEnd w:id="109"/>
      <w:bookmarkStart w:id="110" w:name="_Toc518895495"/>
      <w:bookmarkEnd w:id="110"/>
      <w:bookmarkStart w:id="111" w:name="_Toc518334255"/>
      <w:bookmarkEnd w:id="111"/>
      <w:bookmarkStart w:id="112" w:name="_Toc509046089"/>
      <w:bookmarkEnd w:id="112"/>
      <w:bookmarkStart w:id="113" w:name="_Toc23357"/>
      <w:bookmarkEnd w:id="113"/>
      <w:bookmarkStart w:id="114" w:name="_Toc8640"/>
      <w:bookmarkEnd w:id="114"/>
      <w:bookmarkStart w:id="115" w:name="_Toc28988"/>
      <w:bookmarkEnd w:id="115"/>
      <w:bookmarkStart w:id="116" w:name="_Toc518494806"/>
      <w:bookmarkEnd w:id="116"/>
      <w:bookmarkStart w:id="117" w:name="_Toc518751378"/>
      <w:bookmarkEnd w:id="117"/>
      <w:bookmarkStart w:id="118" w:name="_Toc518328212"/>
      <w:bookmarkEnd w:id="118"/>
      <w:bookmarkStart w:id="119" w:name="_Toc518335333"/>
      <w:bookmarkEnd w:id="119"/>
      <w:bookmarkStart w:id="120" w:name="_Toc509585665"/>
      <w:bookmarkEnd w:id="120"/>
      <w:bookmarkStart w:id="121" w:name="_Toc518337550"/>
      <w:bookmarkEnd w:id="121"/>
      <w:bookmarkStart w:id="122" w:name="_Toc478055150"/>
      <w:bookmarkStart w:id="123" w:name="_Toc436059890"/>
    </w:p>
    <w:p>
      <w:pPr>
        <w:pStyle w:val="21"/>
        <w:tabs>
          <w:tab w:val="left" w:pos="630"/>
        </w:tabs>
        <w:snapToGrid w:val="0"/>
        <w:spacing w:line="440" w:lineRule="exact"/>
        <w:ind w:firstLine="424" w:firstLineChars="202"/>
        <w:rPr>
          <w:rFonts w:hAnsi="宋体"/>
        </w:rPr>
      </w:pPr>
    </w:p>
    <w:p>
      <w:pPr>
        <w:pStyle w:val="21"/>
        <w:tabs>
          <w:tab w:val="left" w:pos="630"/>
        </w:tabs>
        <w:snapToGrid w:val="0"/>
        <w:spacing w:line="440" w:lineRule="exact"/>
        <w:ind w:firstLine="424" w:firstLineChars="202"/>
        <w:rPr>
          <w:rFonts w:hAnsi="宋体"/>
        </w:rPr>
      </w:pPr>
      <w:bookmarkStart w:id="124" w:name="_Toc512070048"/>
      <w:r>
        <w:rPr>
          <w:rFonts w:hint="eastAsia" w:hAnsi="宋体"/>
        </w:rPr>
        <w:t>1.2.4、门</w:t>
      </w:r>
      <w:r>
        <w:rPr>
          <w:rFonts w:hint="eastAsia" w:hAnsi="宋体"/>
          <w:b/>
        </w:rPr>
        <w:t>票选型</w:t>
      </w:r>
      <w:bookmarkEnd w:id="122"/>
      <w:bookmarkEnd w:id="123"/>
      <w:bookmarkEnd w:id="124"/>
      <w:r>
        <w:rPr>
          <w:rFonts w:hint="eastAsia" w:hAnsi="宋体"/>
          <w:b/>
        </w:rPr>
        <w:t>需求</w:t>
      </w:r>
    </w:p>
    <w:p>
      <w:pPr>
        <w:pStyle w:val="21"/>
        <w:tabs>
          <w:tab w:val="left" w:pos="630"/>
        </w:tabs>
        <w:snapToGrid w:val="0"/>
        <w:spacing w:line="440" w:lineRule="exact"/>
        <w:ind w:firstLine="424" w:firstLineChars="202"/>
        <w:rPr>
          <w:rFonts w:hAnsi="宋体"/>
        </w:rPr>
      </w:pPr>
      <w:r>
        <w:rPr>
          <w:rFonts w:hint="eastAsia" w:hAnsi="宋体"/>
        </w:rPr>
        <w:t>旅游风景区是客流量较大的经营性场所，门票和园内消费点的收入是景区主要的业务收入来源，需要严格管理。</w:t>
      </w:r>
    </w:p>
    <w:p>
      <w:pPr>
        <w:pStyle w:val="21"/>
        <w:tabs>
          <w:tab w:val="left" w:pos="630"/>
        </w:tabs>
        <w:snapToGrid w:val="0"/>
        <w:spacing w:line="440" w:lineRule="exact"/>
        <w:ind w:firstLine="424" w:firstLineChars="202"/>
        <w:rPr>
          <w:rFonts w:hAnsi="宋体"/>
        </w:rPr>
      </w:pPr>
      <w:bookmarkStart w:id="125" w:name="_Toc402446372"/>
      <w:bookmarkStart w:id="126" w:name="_Toc402453776"/>
      <w:bookmarkStart w:id="127" w:name="_Toc478055151"/>
      <w:bookmarkStart w:id="128" w:name="_Toc436059891"/>
      <w:r>
        <w:rPr>
          <w:rFonts w:hint="eastAsia" w:hAnsi="宋体"/>
        </w:rPr>
        <w:t>①纸质门票</w:t>
      </w:r>
      <w:bookmarkEnd w:id="125"/>
      <w:bookmarkEnd w:id="126"/>
      <w:bookmarkEnd w:id="127"/>
      <w:bookmarkEnd w:id="128"/>
    </w:p>
    <w:p>
      <w:pPr>
        <w:pStyle w:val="21"/>
        <w:tabs>
          <w:tab w:val="left" w:pos="630"/>
        </w:tabs>
        <w:snapToGrid w:val="0"/>
        <w:spacing w:line="440" w:lineRule="exact"/>
        <w:ind w:firstLine="424" w:firstLineChars="202"/>
        <w:rPr>
          <w:rFonts w:hAnsi="宋体"/>
        </w:rPr>
      </w:pPr>
      <w:bookmarkStart w:id="129" w:name="_Toc478055156"/>
      <w:bookmarkStart w:id="130" w:name="_Toc436059896"/>
      <w:r>
        <w:rPr>
          <w:rFonts w:hint="eastAsia" w:hAnsi="宋体"/>
        </w:rPr>
        <w:t>②二代身份证</w:t>
      </w:r>
      <w:bookmarkEnd w:id="129"/>
      <w:bookmarkEnd w:id="130"/>
    </w:p>
    <w:p>
      <w:pPr>
        <w:pStyle w:val="21"/>
        <w:tabs>
          <w:tab w:val="left" w:pos="630"/>
        </w:tabs>
        <w:snapToGrid w:val="0"/>
        <w:spacing w:line="440" w:lineRule="exact"/>
        <w:ind w:firstLine="424" w:firstLineChars="202"/>
        <w:rPr>
          <w:rFonts w:hAnsi="宋体"/>
        </w:rPr>
      </w:pPr>
      <w:r>
        <w:rPr>
          <w:rFonts w:hint="eastAsia" w:hAnsi="宋体"/>
        </w:rPr>
        <w:t>网络订票</w:t>
      </w:r>
    </w:p>
    <w:p>
      <w:pPr>
        <w:pStyle w:val="21"/>
        <w:tabs>
          <w:tab w:val="left" w:pos="630"/>
        </w:tabs>
        <w:snapToGrid w:val="0"/>
        <w:spacing w:line="440" w:lineRule="exact"/>
        <w:ind w:firstLine="424" w:firstLineChars="202"/>
        <w:rPr>
          <w:rFonts w:hAnsi="宋体"/>
        </w:rPr>
      </w:pPr>
      <w:r>
        <w:rPr>
          <w:rFonts w:hint="eastAsia" w:hAnsi="宋体"/>
        </w:rPr>
        <w:t>当地居民优惠票</w:t>
      </w:r>
    </w:p>
    <w:p>
      <w:pPr>
        <w:pStyle w:val="21"/>
        <w:tabs>
          <w:tab w:val="left" w:pos="630"/>
        </w:tabs>
        <w:snapToGrid w:val="0"/>
        <w:spacing w:line="440" w:lineRule="exact"/>
        <w:ind w:firstLine="424" w:firstLineChars="202"/>
        <w:rPr>
          <w:rFonts w:hAnsi="宋体"/>
        </w:rPr>
      </w:pPr>
      <w:r>
        <w:rPr>
          <w:rFonts w:hint="eastAsia" w:hAnsi="宋体"/>
        </w:rPr>
        <w:t>70岁以上老人免票</w:t>
      </w:r>
    </w:p>
    <w:p>
      <w:pPr>
        <w:pStyle w:val="21"/>
        <w:tabs>
          <w:tab w:val="left" w:pos="630"/>
        </w:tabs>
        <w:snapToGrid w:val="0"/>
        <w:spacing w:line="440" w:lineRule="exact"/>
        <w:ind w:firstLine="424" w:firstLineChars="202"/>
        <w:rPr>
          <w:rFonts w:hAnsi="宋体"/>
        </w:rPr>
      </w:pPr>
      <w:bookmarkStart w:id="131" w:name="_Toc478055157"/>
      <w:bookmarkStart w:id="132" w:name="_Toc436059897"/>
      <w:r>
        <w:rPr>
          <w:rFonts w:hint="eastAsia" w:hAnsi="宋体"/>
        </w:rPr>
        <w:t>③手机二维码</w:t>
      </w:r>
      <w:bookmarkEnd w:id="131"/>
      <w:bookmarkEnd w:id="132"/>
    </w:p>
    <w:p>
      <w:pPr>
        <w:pStyle w:val="21"/>
        <w:tabs>
          <w:tab w:val="left" w:pos="630"/>
        </w:tabs>
        <w:snapToGrid w:val="0"/>
        <w:spacing w:line="440" w:lineRule="exact"/>
        <w:ind w:firstLine="424" w:firstLineChars="202"/>
        <w:rPr>
          <w:rFonts w:hAnsi="宋体"/>
        </w:rPr>
      </w:pPr>
      <w:bookmarkStart w:id="133" w:name="_Toc351465212"/>
      <w:bookmarkStart w:id="134" w:name="_Toc407352793"/>
      <w:bookmarkStart w:id="135" w:name="_Toc399679610"/>
      <w:bookmarkStart w:id="136" w:name="_Toc436059899"/>
      <w:bookmarkStart w:id="137" w:name="_Toc478055159"/>
      <w:r>
        <w:rPr>
          <w:rFonts w:hint="eastAsia" w:hAnsi="宋体"/>
        </w:rPr>
        <w:t>④人</w:t>
      </w:r>
      <w:bookmarkEnd w:id="133"/>
      <w:r>
        <w:rPr>
          <w:rFonts w:hint="eastAsia" w:hAnsi="宋体"/>
        </w:rPr>
        <w:t>脸识别</w:t>
      </w:r>
      <w:bookmarkEnd w:id="134"/>
      <w:bookmarkEnd w:id="135"/>
      <w:bookmarkEnd w:id="136"/>
      <w:bookmarkEnd w:id="137"/>
    </w:p>
    <w:p>
      <w:pPr>
        <w:pStyle w:val="21"/>
        <w:tabs>
          <w:tab w:val="left" w:pos="630"/>
        </w:tabs>
        <w:snapToGrid w:val="0"/>
        <w:spacing w:line="440" w:lineRule="exact"/>
        <w:ind w:firstLine="424" w:firstLineChars="202"/>
        <w:rPr>
          <w:rFonts w:hAnsi="宋体"/>
        </w:rPr>
      </w:pPr>
      <w:bookmarkStart w:id="138" w:name="_Toc436302138"/>
      <w:bookmarkStart w:id="139" w:name="_Toc478055160"/>
      <w:r>
        <w:rPr>
          <w:rFonts w:hint="eastAsia" w:hAnsi="宋体"/>
        </w:rPr>
        <w:t>⑤其它门票类型</w:t>
      </w:r>
      <w:bookmarkEnd w:id="138"/>
      <w:bookmarkEnd w:id="139"/>
    </w:p>
    <w:p>
      <w:pPr>
        <w:pStyle w:val="21"/>
        <w:tabs>
          <w:tab w:val="left" w:pos="630"/>
        </w:tabs>
        <w:snapToGrid w:val="0"/>
        <w:spacing w:line="440" w:lineRule="exact"/>
        <w:ind w:firstLine="424" w:firstLineChars="202"/>
        <w:rPr>
          <w:rFonts w:hAnsi="宋体"/>
        </w:rPr>
      </w:pPr>
    </w:p>
    <w:p>
      <w:pPr>
        <w:pStyle w:val="21"/>
        <w:tabs>
          <w:tab w:val="left" w:pos="630"/>
        </w:tabs>
        <w:snapToGrid w:val="0"/>
        <w:spacing w:line="440" w:lineRule="exact"/>
        <w:ind w:firstLine="424" w:firstLineChars="202"/>
        <w:rPr>
          <w:rFonts w:hAnsi="宋体"/>
        </w:rPr>
      </w:pPr>
      <w:bookmarkStart w:id="140" w:name="_Toc512070050"/>
      <w:bookmarkStart w:id="141" w:name="_Toc478055161"/>
      <w:bookmarkStart w:id="142" w:name="_Toc436059900"/>
      <w:r>
        <w:rPr>
          <w:rFonts w:hint="eastAsia" w:hAnsi="宋体"/>
        </w:rPr>
        <w:t>1.2.5、</w:t>
      </w:r>
      <w:r>
        <w:rPr>
          <w:rFonts w:hint="eastAsia" w:hAnsi="宋体"/>
          <w:b/>
        </w:rPr>
        <w:t>不同客户群的票务管理</w:t>
      </w:r>
      <w:bookmarkEnd w:id="140"/>
      <w:bookmarkEnd w:id="141"/>
      <w:bookmarkEnd w:id="142"/>
      <w:r>
        <w:rPr>
          <w:rFonts w:hint="eastAsia" w:hAnsi="宋体"/>
          <w:b/>
        </w:rPr>
        <w:t>需求</w:t>
      </w:r>
    </w:p>
    <w:p>
      <w:pPr>
        <w:pStyle w:val="21"/>
        <w:tabs>
          <w:tab w:val="left" w:pos="630"/>
        </w:tabs>
        <w:snapToGrid w:val="0"/>
        <w:spacing w:line="440" w:lineRule="exact"/>
        <w:ind w:firstLine="424" w:firstLineChars="202"/>
        <w:rPr>
          <w:rFonts w:hAnsi="宋体"/>
        </w:rPr>
      </w:pPr>
      <w:bookmarkStart w:id="143" w:name="_Toc478055162"/>
      <w:bookmarkStart w:id="144" w:name="_Toc436059901"/>
      <w:r>
        <w:rPr>
          <w:rFonts w:hint="eastAsia" w:hAnsi="宋体"/>
        </w:rPr>
        <w:t>①散客</w:t>
      </w:r>
      <w:bookmarkEnd w:id="143"/>
      <w:bookmarkEnd w:id="144"/>
    </w:p>
    <w:p>
      <w:pPr>
        <w:pStyle w:val="21"/>
        <w:tabs>
          <w:tab w:val="left" w:pos="630"/>
        </w:tabs>
        <w:snapToGrid w:val="0"/>
        <w:spacing w:line="440" w:lineRule="exact"/>
        <w:ind w:firstLine="424" w:firstLineChars="202"/>
        <w:rPr>
          <w:rFonts w:hAnsi="宋体"/>
        </w:rPr>
      </w:pPr>
      <w:bookmarkStart w:id="145" w:name="_Toc436059902"/>
      <w:bookmarkStart w:id="146" w:name="_Toc478055163"/>
      <w:r>
        <w:rPr>
          <w:rFonts w:hint="eastAsia" w:hAnsi="宋体"/>
        </w:rPr>
        <w:t>②团队游客</w:t>
      </w:r>
      <w:bookmarkEnd w:id="145"/>
      <w:bookmarkEnd w:id="146"/>
    </w:p>
    <w:p>
      <w:pPr>
        <w:pStyle w:val="21"/>
        <w:tabs>
          <w:tab w:val="left" w:pos="630"/>
        </w:tabs>
        <w:snapToGrid w:val="0"/>
        <w:spacing w:line="440" w:lineRule="exact"/>
        <w:ind w:firstLine="424" w:firstLineChars="202"/>
        <w:rPr>
          <w:rFonts w:hAnsi="宋体"/>
        </w:rPr>
      </w:pPr>
      <w:bookmarkStart w:id="147" w:name="_Toc478055164"/>
      <w:bookmarkStart w:id="148" w:name="_Toc436059903"/>
      <w:bookmarkStart w:id="149" w:name="_Toc396742698"/>
      <w:r>
        <w:rPr>
          <w:rFonts w:hint="eastAsia" w:hAnsi="宋体"/>
        </w:rPr>
        <w:t>③会员卡</w:t>
      </w:r>
      <w:bookmarkEnd w:id="147"/>
      <w:bookmarkEnd w:id="148"/>
      <w:bookmarkEnd w:id="149"/>
    </w:p>
    <w:p>
      <w:pPr>
        <w:pStyle w:val="21"/>
        <w:tabs>
          <w:tab w:val="left" w:pos="630"/>
        </w:tabs>
        <w:snapToGrid w:val="0"/>
        <w:spacing w:line="440" w:lineRule="exact"/>
        <w:ind w:firstLine="424" w:firstLineChars="202"/>
        <w:rPr>
          <w:rFonts w:hAnsi="宋体"/>
        </w:rPr>
      </w:pPr>
    </w:p>
    <w:p>
      <w:pPr>
        <w:pStyle w:val="21"/>
        <w:tabs>
          <w:tab w:val="left" w:pos="630"/>
        </w:tabs>
        <w:snapToGrid w:val="0"/>
        <w:spacing w:line="440" w:lineRule="exact"/>
        <w:ind w:firstLine="424" w:firstLineChars="202"/>
        <w:rPr>
          <w:rFonts w:hAnsi="宋体"/>
          <w:b/>
        </w:rPr>
      </w:pPr>
      <w:bookmarkStart w:id="150" w:name="_Toc401242067"/>
      <w:bookmarkStart w:id="151" w:name="_Toc512070056"/>
      <w:bookmarkStart w:id="152" w:name="_Toc408328601"/>
      <w:bookmarkStart w:id="153" w:name="_Toc478055182"/>
      <w:bookmarkStart w:id="154" w:name="_Toc436059921"/>
      <w:r>
        <w:rPr>
          <w:rFonts w:hint="eastAsia" w:hAnsi="宋体"/>
        </w:rPr>
        <w:t>1.2.6、</w:t>
      </w:r>
      <w:r>
        <w:rPr>
          <w:rFonts w:hint="eastAsia" w:hAnsi="宋体"/>
          <w:b/>
        </w:rPr>
        <w:t>软件功能</w:t>
      </w:r>
      <w:bookmarkEnd w:id="150"/>
      <w:bookmarkEnd w:id="151"/>
      <w:bookmarkEnd w:id="152"/>
      <w:bookmarkEnd w:id="153"/>
      <w:bookmarkEnd w:id="154"/>
    </w:p>
    <w:p>
      <w:pPr>
        <w:pStyle w:val="21"/>
        <w:tabs>
          <w:tab w:val="left" w:pos="630"/>
        </w:tabs>
        <w:snapToGrid w:val="0"/>
        <w:spacing w:line="440" w:lineRule="exact"/>
        <w:ind w:firstLine="424" w:firstLineChars="202"/>
        <w:rPr>
          <w:rFonts w:hAnsi="宋体"/>
        </w:rPr>
      </w:pPr>
      <w:bookmarkStart w:id="155" w:name="_Toc478055183"/>
      <w:bookmarkStart w:id="156" w:name="_Toc395030361"/>
      <w:bookmarkStart w:id="157" w:name="_Toc401242068"/>
      <w:bookmarkStart w:id="158" w:name="_Toc408328602"/>
      <w:bookmarkStart w:id="159" w:name="_Toc436059922"/>
      <w:r>
        <w:rPr>
          <w:rFonts w:hint="eastAsia" w:hAnsi="宋体"/>
        </w:rPr>
        <w:t>①票务管理功能</w:t>
      </w:r>
      <w:bookmarkEnd w:id="155"/>
      <w:bookmarkEnd w:id="156"/>
      <w:bookmarkEnd w:id="157"/>
      <w:bookmarkEnd w:id="158"/>
      <w:bookmarkEnd w:id="159"/>
      <w:r>
        <w:rPr>
          <w:rFonts w:hint="eastAsia" w:hAnsi="宋体"/>
        </w:rPr>
        <w:t xml:space="preserve"> </w:t>
      </w:r>
    </w:p>
    <w:p>
      <w:pPr>
        <w:pStyle w:val="21"/>
        <w:tabs>
          <w:tab w:val="left" w:pos="630"/>
        </w:tabs>
        <w:snapToGrid w:val="0"/>
        <w:spacing w:line="440" w:lineRule="exact"/>
        <w:ind w:firstLine="424" w:firstLineChars="202"/>
        <w:rPr>
          <w:rFonts w:hAnsi="宋体"/>
        </w:rPr>
      </w:pPr>
      <w:r>
        <w:rPr>
          <w:rFonts w:hint="eastAsia" w:hAnsi="宋体"/>
        </w:rPr>
        <w:t>票务管理功能是本系统核心功能，根据用户需求，自定义相关的售票基础数据，供售票人员操作使用。</w:t>
      </w:r>
    </w:p>
    <w:p>
      <w:pPr>
        <w:pStyle w:val="21"/>
        <w:tabs>
          <w:tab w:val="left" w:pos="630"/>
        </w:tabs>
        <w:snapToGrid w:val="0"/>
        <w:spacing w:line="440" w:lineRule="exact"/>
        <w:ind w:firstLine="424" w:firstLineChars="202"/>
        <w:rPr>
          <w:rFonts w:hAnsi="宋体"/>
        </w:rPr>
      </w:pPr>
      <w:bookmarkStart w:id="160" w:name="_Toc408328603"/>
      <w:bookmarkStart w:id="161" w:name="_Toc395030362"/>
      <w:bookmarkStart w:id="162" w:name="_Toc401242069"/>
      <w:bookmarkStart w:id="163" w:name="_Toc436059923"/>
      <w:bookmarkStart w:id="164" w:name="_Toc478055184"/>
      <w:r>
        <w:rPr>
          <w:rFonts w:hint="eastAsia" w:hAnsi="宋体"/>
        </w:rPr>
        <w:t>②门票管理功能</w:t>
      </w:r>
      <w:bookmarkEnd w:id="160"/>
      <w:bookmarkEnd w:id="161"/>
      <w:bookmarkEnd w:id="162"/>
      <w:bookmarkEnd w:id="163"/>
      <w:bookmarkEnd w:id="164"/>
    </w:p>
    <w:p>
      <w:pPr>
        <w:pStyle w:val="21"/>
        <w:tabs>
          <w:tab w:val="left" w:pos="630"/>
        </w:tabs>
        <w:snapToGrid w:val="0"/>
        <w:spacing w:line="440" w:lineRule="exact"/>
        <w:ind w:firstLine="424" w:firstLineChars="202"/>
        <w:rPr>
          <w:rFonts w:hAnsi="宋体"/>
        </w:rPr>
      </w:pPr>
      <w:r>
        <w:rPr>
          <w:rFonts w:hint="eastAsia" w:hAnsi="宋体"/>
        </w:rPr>
        <w:t>门票管理功能主要用于管理不同介质（如二维码、IC卡门票等）的门票，包括但不限于：门票入库、门票查询、门票发放等。</w:t>
      </w:r>
    </w:p>
    <w:p>
      <w:pPr>
        <w:pStyle w:val="21"/>
        <w:tabs>
          <w:tab w:val="left" w:pos="630"/>
        </w:tabs>
        <w:snapToGrid w:val="0"/>
        <w:spacing w:line="440" w:lineRule="exact"/>
        <w:ind w:firstLine="424" w:firstLineChars="202"/>
        <w:rPr>
          <w:rFonts w:hAnsi="宋体"/>
        </w:rPr>
      </w:pPr>
      <w:bookmarkStart w:id="165" w:name="_Toc478055185"/>
      <w:bookmarkStart w:id="166" w:name="_Toc408328604"/>
      <w:bookmarkStart w:id="167" w:name="_Toc436059924"/>
      <w:bookmarkStart w:id="168" w:name="_Toc401242070"/>
      <w:bookmarkStart w:id="169" w:name="_Toc395030363"/>
      <w:r>
        <w:rPr>
          <w:rFonts w:hint="eastAsia" w:hAnsi="宋体"/>
        </w:rPr>
        <w:t>③售票管理功能</w:t>
      </w:r>
      <w:bookmarkEnd w:id="165"/>
      <w:bookmarkEnd w:id="166"/>
      <w:bookmarkEnd w:id="167"/>
      <w:bookmarkEnd w:id="168"/>
      <w:bookmarkEnd w:id="169"/>
    </w:p>
    <w:p>
      <w:pPr>
        <w:pStyle w:val="21"/>
        <w:tabs>
          <w:tab w:val="left" w:pos="630"/>
        </w:tabs>
        <w:snapToGrid w:val="0"/>
        <w:spacing w:line="440" w:lineRule="exact"/>
        <w:ind w:firstLine="424" w:firstLineChars="202"/>
        <w:rPr>
          <w:rFonts w:hAnsi="宋体"/>
        </w:rPr>
      </w:pPr>
      <w:r>
        <w:rPr>
          <w:rFonts w:hint="eastAsia" w:hAnsi="宋体"/>
        </w:rPr>
        <w:t>操作简洁</w:t>
      </w:r>
    </w:p>
    <w:p>
      <w:pPr>
        <w:pStyle w:val="21"/>
        <w:tabs>
          <w:tab w:val="left" w:pos="630"/>
        </w:tabs>
        <w:snapToGrid w:val="0"/>
        <w:spacing w:line="440" w:lineRule="exact"/>
        <w:ind w:firstLine="424" w:firstLineChars="202"/>
        <w:rPr>
          <w:rFonts w:hAnsi="宋体"/>
        </w:rPr>
      </w:pPr>
      <w:r>
        <w:rPr>
          <w:rFonts w:hint="eastAsia" w:hAnsi="宋体"/>
        </w:rPr>
        <w:t>多种票类一笔销售</w:t>
      </w:r>
    </w:p>
    <w:p>
      <w:pPr>
        <w:pStyle w:val="21"/>
        <w:tabs>
          <w:tab w:val="left" w:pos="630"/>
        </w:tabs>
        <w:snapToGrid w:val="0"/>
        <w:spacing w:line="440" w:lineRule="exact"/>
        <w:ind w:firstLine="424" w:firstLineChars="202"/>
        <w:rPr>
          <w:rFonts w:hAnsi="宋体"/>
        </w:rPr>
      </w:pPr>
      <w:r>
        <w:rPr>
          <w:rFonts w:hint="eastAsia" w:hAnsi="宋体"/>
        </w:rPr>
        <w:t>多人票售票功能</w:t>
      </w:r>
    </w:p>
    <w:p>
      <w:pPr>
        <w:pStyle w:val="21"/>
        <w:tabs>
          <w:tab w:val="left" w:pos="630"/>
        </w:tabs>
        <w:snapToGrid w:val="0"/>
        <w:spacing w:line="440" w:lineRule="exact"/>
        <w:ind w:firstLine="424" w:firstLineChars="202"/>
        <w:rPr>
          <w:rFonts w:hAnsi="宋体"/>
        </w:rPr>
      </w:pPr>
      <w:r>
        <w:rPr>
          <w:rFonts w:hint="eastAsia" w:hAnsi="宋体"/>
        </w:rPr>
        <w:t>客户售票功能</w:t>
      </w:r>
    </w:p>
    <w:p>
      <w:pPr>
        <w:pStyle w:val="21"/>
        <w:tabs>
          <w:tab w:val="left" w:pos="630"/>
        </w:tabs>
        <w:snapToGrid w:val="0"/>
        <w:spacing w:line="440" w:lineRule="exact"/>
        <w:ind w:firstLine="424" w:firstLineChars="202"/>
        <w:rPr>
          <w:rFonts w:hAnsi="宋体"/>
        </w:rPr>
      </w:pPr>
      <w:r>
        <w:rPr>
          <w:rFonts w:hint="eastAsia" w:hAnsi="宋体"/>
        </w:rPr>
        <w:t>灵活的折扣管理</w:t>
      </w:r>
    </w:p>
    <w:p>
      <w:pPr>
        <w:pStyle w:val="21"/>
        <w:tabs>
          <w:tab w:val="left" w:pos="630"/>
        </w:tabs>
        <w:snapToGrid w:val="0"/>
        <w:spacing w:line="440" w:lineRule="exact"/>
        <w:ind w:firstLine="424" w:firstLineChars="202"/>
        <w:rPr>
          <w:rFonts w:hAnsi="宋体"/>
        </w:rPr>
      </w:pPr>
      <w:r>
        <w:rPr>
          <w:rFonts w:hint="eastAsia" w:hAnsi="宋体"/>
        </w:rPr>
        <w:t>支持组合付款</w:t>
      </w:r>
    </w:p>
    <w:p>
      <w:pPr>
        <w:pStyle w:val="21"/>
        <w:tabs>
          <w:tab w:val="left" w:pos="630"/>
        </w:tabs>
        <w:snapToGrid w:val="0"/>
        <w:spacing w:line="440" w:lineRule="exact"/>
        <w:ind w:firstLine="424" w:firstLineChars="202"/>
        <w:rPr>
          <w:rFonts w:hAnsi="宋体"/>
        </w:rPr>
      </w:pPr>
      <w:r>
        <w:rPr>
          <w:rFonts w:hint="eastAsia" w:hAnsi="宋体"/>
        </w:rPr>
        <w:t>支持多种付款方式</w:t>
      </w:r>
    </w:p>
    <w:p>
      <w:pPr>
        <w:pStyle w:val="21"/>
        <w:tabs>
          <w:tab w:val="left" w:pos="630"/>
        </w:tabs>
        <w:snapToGrid w:val="0"/>
        <w:spacing w:line="440" w:lineRule="exact"/>
        <w:ind w:firstLine="424" w:firstLineChars="202"/>
        <w:rPr>
          <w:rFonts w:hAnsi="宋体"/>
        </w:rPr>
      </w:pPr>
      <w:r>
        <w:rPr>
          <w:rFonts w:hint="eastAsia" w:hAnsi="宋体"/>
        </w:rPr>
        <w:t>支持修改单价或实收金额</w:t>
      </w:r>
    </w:p>
    <w:p>
      <w:pPr>
        <w:pStyle w:val="21"/>
        <w:tabs>
          <w:tab w:val="left" w:pos="630"/>
        </w:tabs>
        <w:snapToGrid w:val="0"/>
        <w:spacing w:line="440" w:lineRule="exact"/>
        <w:ind w:firstLine="424" w:firstLineChars="202"/>
        <w:rPr>
          <w:rFonts w:hAnsi="宋体"/>
        </w:rPr>
      </w:pPr>
      <w:r>
        <w:rPr>
          <w:rFonts w:hint="eastAsia" w:hAnsi="宋体"/>
        </w:rPr>
        <w:t>预售功能</w:t>
      </w:r>
    </w:p>
    <w:p>
      <w:pPr>
        <w:pStyle w:val="21"/>
        <w:tabs>
          <w:tab w:val="left" w:pos="630"/>
        </w:tabs>
        <w:snapToGrid w:val="0"/>
        <w:spacing w:line="440" w:lineRule="exact"/>
        <w:ind w:firstLine="424" w:firstLineChars="202"/>
        <w:rPr>
          <w:rFonts w:hAnsi="宋体"/>
        </w:rPr>
      </w:pPr>
      <w:r>
        <w:rPr>
          <w:rFonts w:hint="eastAsia" w:hAnsi="宋体"/>
        </w:rPr>
        <w:t>网上售票功能</w:t>
      </w:r>
    </w:p>
    <w:p>
      <w:pPr>
        <w:pStyle w:val="21"/>
        <w:tabs>
          <w:tab w:val="left" w:pos="630"/>
        </w:tabs>
        <w:snapToGrid w:val="0"/>
        <w:spacing w:line="440" w:lineRule="exact"/>
        <w:ind w:firstLine="424" w:firstLineChars="202"/>
        <w:rPr>
          <w:rFonts w:hAnsi="宋体"/>
        </w:rPr>
      </w:pPr>
      <w:bookmarkStart w:id="170" w:name="_Toc408328606"/>
      <w:bookmarkStart w:id="171" w:name="_Toc436059925"/>
      <w:bookmarkStart w:id="172" w:name="_Toc478055186"/>
      <w:bookmarkStart w:id="173" w:name="_Toc401242071"/>
      <w:bookmarkStart w:id="174" w:name="_Toc395030364"/>
      <w:r>
        <w:rPr>
          <w:rFonts w:hint="eastAsia" w:hAnsi="宋体"/>
        </w:rPr>
        <w:t>④检票管理功能</w:t>
      </w:r>
      <w:bookmarkEnd w:id="170"/>
      <w:bookmarkEnd w:id="171"/>
      <w:bookmarkEnd w:id="172"/>
      <w:bookmarkEnd w:id="173"/>
      <w:bookmarkEnd w:id="174"/>
    </w:p>
    <w:p>
      <w:pPr>
        <w:pStyle w:val="21"/>
        <w:tabs>
          <w:tab w:val="left" w:pos="630"/>
        </w:tabs>
        <w:snapToGrid w:val="0"/>
        <w:spacing w:line="440" w:lineRule="exact"/>
        <w:ind w:firstLine="424" w:firstLineChars="202"/>
        <w:rPr>
          <w:rFonts w:hAnsi="宋体"/>
        </w:rPr>
      </w:pPr>
      <w:r>
        <w:rPr>
          <w:rFonts w:hint="eastAsia" w:hAnsi="宋体"/>
        </w:rPr>
        <w:t>检票管理功能，用于管理智能检票通道。对智能检票通道分区域、分组进行管理，单向与双向进出管理，紧急联动管理，消防联动管理等。检票管理实时监控，智能检票通道的运行状态和检票人数，以便合理调派相关管理人员。</w:t>
      </w:r>
    </w:p>
    <w:p>
      <w:pPr>
        <w:pStyle w:val="21"/>
        <w:tabs>
          <w:tab w:val="left" w:pos="630"/>
        </w:tabs>
        <w:snapToGrid w:val="0"/>
        <w:spacing w:line="440" w:lineRule="exact"/>
        <w:ind w:firstLine="424" w:firstLineChars="202"/>
        <w:rPr>
          <w:rFonts w:hAnsi="宋体"/>
        </w:rPr>
      </w:pPr>
      <w:bookmarkStart w:id="175" w:name="_Toc436059926"/>
      <w:bookmarkStart w:id="176" w:name="_Toc401242072"/>
      <w:bookmarkStart w:id="177" w:name="_Toc395030365"/>
      <w:bookmarkStart w:id="178" w:name="_Toc478055187"/>
      <w:bookmarkStart w:id="179" w:name="_Toc408328607"/>
      <w:r>
        <w:rPr>
          <w:rFonts w:hint="eastAsia" w:hAnsi="宋体"/>
        </w:rPr>
        <w:t>⑤会员管理功能</w:t>
      </w:r>
      <w:bookmarkEnd w:id="175"/>
      <w:bookmarkEnd w:id="176"/>
      <w:bookmarkEnd w:id="177"/>
      <w:bookmarkEnd w:id="178"/>
      <w:bookmarkEnd w:id="179"/>
    </w:p>
    <w:p>
      <w:pPr>
        <w:pStyle w:val="21"/>
        <w:tabs>
          <w:tab w:val="left" w:pos="630"/>
        </w:tabs>
        <w:snapToGrid w:val="0"/>
        <w:spacing w:line="440" w:lineRule="exact"/>
        <w:ind w:firstLine="424" w:firstLineChars="202"/>
        <w:rPr>
          <w:rFonts w:hAnsi="宋体"/>
        </w:rPr>
      </w:pPr>
      <w:r>
        <w:rPr>
          <w:rFonts w:hint="eastAsia" w:hAnsi="宋体"/>
        </w:rPr>
        <w:t>本系统可出售记名会员卡、非记名会员卡，会员卡一般采用非接触式IC卡门票。</w:t>
      </w:r>
    </w:p>
    <w:p>
      <w:pPr>
        <w:pStyle w:val="21"/>
        <w:tabs>
          <w:tab w:val="left" w:pos="630"/>
        </w:tabs>
        <w:snapToGrid w:val="0"/>
        <w:spacing w:line="440" w:lineRule="exact"/>
        <w:ind w:firstLine="424" w:firstLineChars="202"/>
        <w:rPr>
          <w:rFonts w:hAnsi="宋体"/>
        </w:rPr>
      </w:pPr>
      <w:bookmarkStart w:id="180" w:name="_Toc478055188"/>
      <w:bookmarkStart w:id="181" w:name="_Toc408328605"/>
      <w:bookmarkStart w:id="182" w:name="_Toc436059927"/>
      <w:r>
        <w:rPr>
          <w:rFonts w:hint="eastAsia" w:hAnsi="宋体"/>
        </w:rPr>
        <w:t>储值卡管理功能</w:t>
      </w:r>
      <w:bookmarkEnd w:id="180"/>
      <w:bookmarkEnd w:id="181"/>
      <w:bookmarkEnd w:id="182"/>
    </w:p>
    <w:p>
      <w:pPr>
        <w:pStyle w:val="21"/>
        <w:tabs>
          <w:tab w:val="left" w:pos="630"/>
        </w:tabs>
        <w:snapToGrid w:val="0"/>
        <w:spacing w:line="440" w:lineRule="exact"/>
        <w:ind w:firstLine="424" w:firstLineChars="202"/>
        <w:rPr>
          <w:rFonts w:hAnsi="宋体"/>
        </w:rPr>
      </w:pPr>
      <w:r>
        <w:rPr>
          <w:rFonts w:hint="eastAsia" w:hAnsi="宋体"/>
        </w:rPr>
        <w:t>储值卡管理功能主要是应用于园内储值卡消费扣费管理功能，以及将各点消费数据与各卡的充值消费信息与服务器进行数据汇总和管理，将储值卡消费信息和票务信息能够汇总统一进行管理；</w:t>
      </w:r>
    </w:p>
    <w:p>
      <w:pPr>
        <w:pStyle w:val="21"/>
        <w:tabs>
          <w:tab w:val="left" w:pos="630"/>
        </w:tabs>
        <w:snapToGrid w:val="0"/>
        <w:spacing w:line="440" w:lineRule="exact"/>
        <w:ind w:firstLine="424" w:firstLineChars="202"/>
        <w:rPr>
          <w:rFonts w:hAnsi="宋体"/>
        </w:rPr>
      </w:pPr>
      <w:bookmarkStart w:id="183" w:name="_Toc478055189"/>
      <w:bookmarkStart w:id="184" w:name="_Toc436059928"/>
      <w:bookmarkStart w:id="185" w:name="_Toc408494375"/>
      <w:r>
        <w:rPr>
          <w:rFonts w:hint="eastAsia" w:hAnsi="宋体"/>
        </w:rPr>
        <w:t>⑥商品销售管理功能</w:t>
      </w:r>
      <w:bookmarkEnd w:id="183"/>
      <w:bookmarkEnd w:id="184"/>
      <w:bookmarkEnd w:id="185"/>
    </w:p>
    <w:p>
      <w:pPr>
        <w:pStyle w:val="21"/>
        <w:tabs>
          <w:tab w:val="left" w:pos="630"/>
        </w:tabs>
        <w:snapToGrid w:val="0"/>
        <w:spacing w:line="440" w:lineRule="exact"/>
        <w:ind w:firstLine="424" w:firstLineChars="202"/>
        <w:rPr>
          <w:rFonts w:hAnsi="宋体"/>
        </w:rPr>
      </w:pPr>
      <w:r>
        <w:rPr>
          <w:rFonts w:hint="eastAsia" w:hAnsi="宋体"/>
        </w:rPr>
        <w:t>支持商品销售管理功能，包括了信息管理：商品的折扣设置、类别设置、单位设置，商品信息的增加、修改、删除、查询、打印功能；商品信息的入库、盘点、查询功能；商品销售，结算功能，商品的租赁归还功能等；</w:t>
      </w:r>
    </w:p>
    <w:p>
      <w:pPr>
        <w:pStyle w:val="21"/>
        <w:tabs>
          <w:tab w:val="left" w:pos="630"/>
        </w:tabs>
        <w:snapToGrid w:val="0"/>
        <w:spacing w:line="440" w:lineRule="exact"/>
        <w:ind w:firstLine="424" w:firstLineChars="202"/>
        <w:rPr>
          <w:rFonts w:hAnsi="宋体"/>
        </w:rPr>
      </w:pPr>
      <w:r>
        <w:rPr>
          <w:rFonts w:hint="eastAsia" w:hAnsi="宋体"/>
        </w:rPr>
        <w:t>商品统计包括：商品类别统计、商品信息统计、出入库明细统计、出入库单据统计、出入库汇总统计报表。</w:t>
      </w:r>
    </w:p>
    <w:p>
      <w:pPr>
        <w:pStyle w:val="21"/>
        <w:tabs>
          <w:tab w:val="left" w:pos="630"/>
        </w:tabs>
        <w:snapToGrid w:val="0"/>
        <w:spacing w:line="440" w:lineRule="exact"/>
        <w:ind w:firstLine="424" w:firstLineChars="202"/>
        <w:rPr>
          <w:rFonts w:hAnsi="宋体"/>
        </w:rPr>
      </w:pPr>
      <w:bookmarkStart w:id="186" w:name="_Toc408328608"/>
      <w:bookmarkStart w:id="187" w:name="_Toc401242073"/>
      <w:bookmarkStart w:id="188" w:name="_Toc436059929"/>
      <w:bookmarkStart w:id="189" w:name="_Toc478055190"/>
      <w:r>
        <w:rPr>
          <w:rFonts w:hint="eastAsia" w:hAnsi="宋体"/>
        </w:rPr>
        <w:t>⑦客流量监控功能</w:t>
      </w:r>
      <w:bookmarkEnd w:id="186"/>
      <w:bookmarkEnd w:id="187"/>
      <w:bookmarkEnd w:id="188"/>
      <w:bookmarkEnd w:id="189"/>
    </w:p>
    <w:p>
      <w:pPr>
        <w:pStyle w:val="21"/>
        <w:tabs>
          <w:tab w:val="left" w:pos="630"/>
        </w:tabs>
        <w:snapToGrid w:val="0"/>
        <w:spacing w:line="440" w:lineRule="exact"/>
        <w:ind w:firstLine="424" w:firstLineChars="202"/>
        <w:rPr>
          <w:rFonts w:hAnsi="宋体"/>
        </w:rPr>
      </w:pPr>
      <w:r>
        <w:rPr>
          <w:rFonts w:hint="eastAsia" w:hAnsi="宋体"/>
        </w:rPr>
        <w:t>直观的在大屏幕上显示实时的售票、检票人数。体现形式有列表方式和曲线图方式；将数据实时显示到LED大屏上，提供接口开发服务。</w:t>
      </w:r>
    </w:p>
    <w:p>
      <w:pPr>
        <w:pStyle w:val="21"/>
        <w:tabs>
          <w:tab w:val="left" w:pos="630"/>
        </w:tabs>
        <w:snapToGrid w:val="0"/>
        <w:spacing w:line="440" w:lineRule="exact"/>
        <w:ind w:firstLine="424" w:firstLineChars="202"/>
        <w:rPr>
          <w:rFonts w:hAnsi="宋体"/>
        </w:rPr>
      </w:pPr>
      <w:bookmarkStart w:id="190" w:name="_Toc478055191"/>
      <w:bookmarkStart w:id="191" w:name="_Toc401242074"/>
      <w:bookmarkStart w:id="192" w:name="_Toc436059930"/>
      <w:r>
        <w:rPr>
          <w:rFonts w:hint="eastAsia" w:hAnsi="宋体"/>
        </w:rPr>
        <w:t>⑧查询和统计</w:t>
      </w:r>
      <w:bookmarkEnd w:id="190"/>
      <w:bookmarkEnd w:id="191"/>
      <w:bookmarkEnd w:id="192"/>
    </w:p>
    <w:p>
      <w:pPr>
        <w:pStyle w:val="21"/>
        <w:tabs>
          <w:tab w:val="left" w:pos="630"/>
        </w:tabs>
        <w:snapToGrid w:val="0"/>
        <w:spacing w:line="440" w:lineRule="exact"/>
        <w:ind w:firstLine="424" w:firstLineChars="202"/>
        <w:rPr>
          <w:rFonts w:hAnsi="宋体"/>
        </w:rPr>
      </w:pPr>
      <w:r>
        <w:rPr>
          <w:rFonts w:hint="eastAsia" w:hAnsi="宋体"/>
        </w:rPr>
        <w:t>具有丰富的查询和统计功能，查询和统计的结果可以打印输出。按照业务类型进行分析、挖掘，进而通过WEB方式展现给管理者和用户，以提供决策支持和数据统计汇总。</w:t>
      </w:r>
    </w:p>
    <w:p>
      <w:pPr>
        <w:pStyle w:val="21"/>
        <w:tabs>
          <w:tab w:val="left" w:pos="630"/>
        </w:tabs>
        <w:snapToGrid w:val="0"/>
        <w:spacing w:line="440" w:lineRule="exact"/>
        <w:ind w:firstLine="424" w:firstLineChars="202"/>
        <w:rPr>
          <w:rFonts w:hAnsi="宋体"/>
          <w:b/>
        </w:rPr>
      </w:pPr>
      <w:bookmarkStart w:id="193" w:name="_Toc436059931"/>
      <w:bookmarkStart w:id="194" w:name="_Toc401242075"/>
      <w:bookmarkStart w:id="195" w:name="_Toc512070057"/>
      <w:bookmarkStart w:id="196" w:name="_Toc478055192"/>
      <w:r>
        <w:rPr>
          <w:rFonts w:hint="eastAsia" w:hAnsi="宋体"/>
        </w:rPr>
        <w:t>1.2.7、</w:t>
      </w:r>
      <w:r>
        <w:rPr>
          <w:rFonts w:hint="eastAsia" w:hAnsi="宋体"/>
          <w:b/>
        </w:rPr>
        <w:t>员工及权限管理功能</w:t>
      </w:r>
      <w:bookmarkEnd w:id="193"/>
      <w:bookmarkEnd w:id="194"/>
      <w:bookmarkEnd w:id="195"/>
      <w:bookmarkEnd w:id="196"/>
    </w:p>
    <w:p>
      <w:pPr>
        <w:pStyle w:val="21"/>
        <w:tabs>
          <w:tab w:val="left" w:pos="630"/>
        </w:tabs>
        <w:snapToGrid w:val="0"/>
        <w:spacing w:line="440" w:lineRule="exact"/>
        <w:ind w:firstLine="424" w:firstLineChars="202"/>
        <w:rPr>
          <w:rFonts w:hAnsi="宋体"/>
        </w:rPr>
      </w:pPr>
      <w:r>
        <w:rPr>
          <w:rFonts w:hint="eastAsia" w:hAnsi="宋体"/>
        </w:rPr>
        <w:t>员工及权限管理功能：系统中可录入员工姓名、职务、部门等信息，可给员工分配登录账号、系统使用权限以及折扣及售票权限等。</w:t>
      </w:r>
    </w:p>
    <w:p>
      <w:pPr>
        <w:pStyle w:val="21"/>
        <w:tabs>
          <w:tab w:val="left" w:pos="630"/>
        </w:tabs>
        <w:snapToGrid w:val="0"/>
        <w:spacing w:line="440" w:lineRule="exact"/>
        <w:ind w:firstLine="424" w:firstLineChars="202"/>
        <w:rPr>
          <w:rFonts w:hAnsi="宋体"/>
        </w:rPr>
      </w:pPr>
      <w:r>
        <w:rPr>
          <w:rFonts w:hint="eastAsia" w:hAnsi="宋体"/>
        </w:rPr>
        <w:t>①系统用户分类</w:t>
      </w:r>
    </w:p>
    <w:p>
      <w:pPr>
        <w:pStyle w:val="21"/>
        <w:tabs>
          <w:tab w:val="left" w:pos="630"/>
        </w:tabs>
        <w:snapToGrid w:val="0"/>
        <w:spacing w:line="440" w:lineRule="exact"/>
        <w:ind w:firstLine="424" w:firstLineChars="202"/>
        <w:rPr>
          <w:rFonts w:hAnsi="宋体"/>
        </w:rPr>
      </w:pPr>
      <w:r>
        <w:rPr>
          <w:rFonts w:hint="eastAsia" w:hAnsi="宋体"/>
        </w:rPr>
        <w:t>游客：游客是指不需经过注册登记的一般个人游客，这类客户可以使用系统提供的旅游业务，包括自助旅游，票务预定、酒店预定等。</w:t>
      </w:r>
    </w:p>
    <w:p>
      <w:pPr>
        <w:pStyle w:val="21"/>
        <w:tabs>
          <w:tab w:val="left" w:pos="630"/>
        </w:tabs>
        <w:snapToGrid w:val="0"/>
        <w:spacing w:line="440" w:lineRule="exact"/>
        <w:ind w:firstLine="424" w:firstLineChars="202"/>
        <w:rPr>
          <w:rFonts w:hAnsi="宋体"/>
        </w:rPr>
      </w:pPr>
      <w:r>
        <w:rPr>
          <w:rFonts w:hint="eastAsia" w:hAnsi="宋体"/>
        </w:rPr>
        <w:t>会员：会员是指经过注册登记的个人游客，这类客户可以使用系统提供的业务，包括票务预定、订单查询、信息修改、帐户充值、会员折扣等服务。同时，系统也会对该类客户的行为进行记录和分析，生成相应报表。</w:t>
      </w:r>
    </w:p>
    <w:p>
      <w:pPr>
        <w:pStyle w:val="21"/>
        <w:tabs>
          <w:tab w:val="left" w:pos="630"/>
        </w:tabs>
        <w:snapToGrid w:val="0"/>
        <w:spacing w:line="440" w:lineRule="exact"/>
        <w:ind w:firstLine="424" w:firstLineChars="202"/>
        <w:rPr>
          <w:rFonts w:hAnsi="宋体"/>
        </w:rPr>
      </w:pPr>
      <w:r>
        <w:rPr>
          <w:rFonts w:hint="eastAsia" w:hAnsi="宋体"/>
        </w:rPr>
        <w:t>旅行社：为旅行社的业务处理提供了更为详尽、方便快捷的业务处理渠道。并可受到专门的服务和优惠措施。各旅行社和景区的业务联系将是非常频繁和复杂的，从组团到景区票务选择到支付下单，以及最后业务发生后的信息反馈，系统为这一切流程设计了个性化、直观、方便、交互性强的功能。让这类客户尽可能享受到一体化的自动服务。</w:t>
      </w:r>
    </w:p>
    <w:p>
      <w:pPr>
        <w:pStyle w:val="21"/>
        <w:tabs>
          <w:tab w:val="left" w:pos="630"/>
        </w:tabs>
        <w:snapToGrid w:val="0"/>
        <w:spacing w:line="440" w:lineRule="exact"/>
        <w:ind w:firstLine="424" w:firstLineChars="202"/>
        <w:rPr>
          <w:rFonts w:hAnsi="宋体"/>
        </w:rPr>
      </w:pPr>
      <w:r>
        <w:rPr>
          <w:rFonts w:hint="eastAsia" w:hAnsi="宋体"/>
        </w:rPr>
        <w:t>普通管理员：系统模块，比如，公告管理、出票管理、数据下载系统的管理用户等。其权限和用户名以及初始密码由中心管理员设置。密码用户自行可以修改。</w:t>
      </w:r>
    </w:p>
    <w:p>
      <w:pPr>
        <w:pStyle w:val="21"/>
        <w:tabs>
          <w:tab w:val="left" w:pos="630"/>
        </w:tabs>
        <w:snapToGrid w:val="0"/>
        <w:spacing w:line="440" w:lineRule="exact"/>
        <w:ind w:firstLine="424" w:firstLineChars="202"/>
        <w:rPr>
          <w:rFonts w:hAnsi="宋体"/>
        </w:rPr>
      </w:pPr>
      <w:r>
        <w:rPr>
          <w:rFonts w:hint="eastAsia" w:hAnsi="宋体"/>
        </w:rPr>
        <w:t>超级管理员：系统最高的管理者，拥有最大权限，包括用户的管理、权限的管理、业务数据的管理和系统设置等等。系统管理员可以管理系统其他用户，设置其权限和用户名及初始密码。</w:t>
      </w:r>
    </w:p>
    <w:p>
      <w:pPr>
        <w:pStyle w:val="21"/>
        <w:tabs>
          <w:tab w:val="left" w:pos="630"/>
        </w:tabs>
        <w:snapToGrid w:val="0"/>
        <w:spacing w:line="440" w:lineRule="exact"/>
        <w:ind w:firstLine="424" w:firstLineChars="202"/>
        <w:rPr>
          <w:rFonts w:hAnsi="宋体"/>
        </w:rPr>
      </w:pPr>
      <w:r>
        <w:rPr>
          <w:rFonts w:hint="eastAsia" w:hAnsi="宋体"/>
        </w:rPr>
        <w:t>②票务预订流程</w:t>
      </w:r>
    </w:p>
    <w:p>
      <w:pPr>
        <w:pStyle w:val="21"/>
        <w:tabs>
          <w:tab w:val="left" w:pos="630"/>
        </w:tabs>
        <w:snapToGrid w:val="0"/>
        <w:spacing w:line="440" w:lineRule="exact"/>
        <w:ind w:firstLine="424" w:firstLineChars="202"/>
        <w:rPr>
          <w:rFonts w:hAnsi="宋体"/>
        </w:rPr>
      </w:pPr>
      <w:r>
        <w:rPr>
          <w:rFonts w:hint="eastAsia" w:hAnsi="宋体"/>
        </w:rPr>
        <w:t>景区电子商务的核心业务，主要面向游客、会员以及旅行社，方便游客（会员、旅行社）在网上查询预订景区的门票，前台预订流程简洁。</w:t>
      </w:r>
    </w:p>
    <w:p>
      <w:pPr>
        <w:pStyle w:val="21"/>
        <w:tabs>
          <w:tab w:val="left" w:pos="630"/>
        </w:tabs>
        <w:snapToGrid w:val="0"/>
        <w:spacing w:line="440" w:lineRule="exact"/>
        <w:ind w:firstLine="424" w:firstLineChars="202"/>
        <w:rPr>
          <w:rFonts w:hAnsi="宋体"/>
        </w:rPr>
      </w:pPr>
      <w:r>
        <w:rPr>
          <w:rFonts w:hint="eastAsia" w:hAnsi="宋体"/>
        </w:rPr>
        <w:t>a.订单管理</w:t>
      </w:r>
    </w:p>
    <w:p>
      <w:pPr>
        <w:pStyle w:val="21"/>
        <w:tabs>
          <w:tab w:val="left" w:pos="630"/>
        </w:tabs>
        <w:snapToGrid w:val="0"/>
        <w:spacing w:line="440" w:lineRule="exact"/>
        <w:ind w:firstLine="424" w:firstLineChars="202"/>
        <w:rPr>
          <w:rFonts w:hAnsi="宋体"/>
        </w:rPr>
      </w:pPr>
      <w:r>
        <w:rPr>
          <w:rFonts w:hint="eastAsia" w:hAnsi="宋体"/>
        </w:rPr>
        <w:t>对订单进行综合查询、订单分类查询、分类统计、退单分类查询和分类统计，按用户查询统计。</w:t>
      </w:r>
    </w:p>
    <w:p>
      <w:pPr>
        <w:pStyle w:val="21"/>
        <w:tabs>
          <w:tab w:val="left" w:pos="630"/>
        </w:tabs>
        <w:snapToGrid w:val="0"/>
        <w:spacing w:line="440" w:lineRule="exact"/>
        <w:ind w:firstLine="424" w:firstLineChars="202"/>
        <w:rPr>
          <w:rFonts w:hAnsi="宋体"/>
        </w:rPr>
      </w:pPr>
      <w:r>
        <w:rPr>
          <w:rFonts w:hint="eastAsia" w:hAnsi="宋体"/>
        </w:rPr>
        <w:t>包括：订单查询、订单统计、退单查询、退单统计、退单审核、退单退款、银行交易统计对比分析，旅行社预订排名，客源地分析，散客预订分析对比，用户预付款统计，历年同期对比等诸多功能。</w:t>
      </w:r>
    </w:p>
    <w:p>
      <w:pPr>
        <w:pStyle w:val="21"/>
        <w:tabs>
          <w:tab w:val="left" w:pos="630"/>
        </w:tabs>
        <w:snapToGrid w:val="0"/>
        <w:spacing w:line="440" w:lineRule="exact"/>
        <w:ind w:firstLine="424" w:firstLineChars="202"/>
        <w:rPr>
          <w:rFonts w:hAnsi="宋体"/>
        </w:rPr>
      </w:pPr>
      <w:r>
        <w:rPr>
          <w:rFonts w:hint="eastAsia" w:hAnsi="宋体"/>
        </w:rPr>
        <w:t>b.订单出票</w:t>
      </w:r>
    </w:p>
    <w:p>
      <w:pPr>
        <w:pStyle w:val="21"/>
        <w:tabs>
          <w:tab w:val="left" w:pos="630"/>
        </w:tabs>
        <w:snapToGrid w:val="0"/>
        <w:spacing w:line="440" w:lineRule="exact"/>
        <w:ind w:firstLine="424" w:firstLineChars="202"/>
        <w:rPr>
          <w:rFonts w:hAnsi="宋体"/>
        </w:rPr>
      </w:pPr>
      <w:r>
        <w:rPr>
          <w:rFonts w:hint="eastAsia" w:hAnsi="宋体"/>
        </w:rPr>
        <w:t>取票人提交二代身份证给操作员，刷二代身份证（无身份证的手工录入身份证号），操作员根据取票人二代身份证信息进行系统校验和查询订单信息，验证信息无误后，根据用户要求退订、换票或出票。</w:t>
      </w:r>
    </w:p>
    <w:p>
      <w:pPr>
        <w:pStyle w:val="21"/>
        <w:tabs>
          <w:tab w:val="left" w:pos="630"/>
        </w:tabs>
        <w:snapToGrid w:val="0"/>
        <w:spacing w:line="440" w:lineRule="exact"/>
        <w:ind w:firstLine="424" w:firstLineChars="202"/>
        <w:rPr>
          <w:rFonts w:hAnsi="宋体"/>
          <w:b/>
        </w:rPr>
      </w:pPr>
      <w:r>
        <w:rPr>
          <w:rFonts w:hint="eastAsia" w:hAnsi="宋体"/>
        </w:rPr>
        <w:t>1.2.8、</w:t>
      </w:r>
      <w:r>
        <w:rPr>
          <w:rFonts w:hint="eastAsia" w:hAnsi="宋体"/>
          <w:b/>
        </w:rPr>
        <w:t>后台管理</w:t>
      </w:r>
    </w:p>
    <w:p>
      <w:pPr>
        <w:pStyle w:val="21"/>
        <w:tabs>
          <w:tab w:val="left" w:pos="630"/>
        </w:tabs>
        <w:snapToGrid w:val="0"/>
        <w:spacing w:line="440" w:lineRule="exact"/>
        <w:ind w:firstLine="424" w:firstLineChars="202"/>
        <w:rPr>
          <w:rFonts w:hAnsi="宋体"/>
        </w:rPr>
      </w:pPr>
      <w:r>
        <w:rPr>
          <w:rFonts w:hint="eastAsia" w:hAnsi="宋体"/>
        </w:rPr>
        <w:t>①客户管理</w:t>
      </w:r>
    </w:p>
    <w:p>
      <w:pPr>
        <w:pStyle w:val="21"/>
        <w:tabs>
          <w:tab w:val="left" w:pos="630"/>
        </w:tabs>
        <w:snapToGrid w:val="0"/>
        <w:spacing w:line="440" w:lineRule="exact"/>
        <w:ind w:firstLine="424" w:firstLineChars="202"/>
        <w:rPr>
          <w:rFonts w:hAnsi="宋体"/>
        </w:rPr>
      </w:pPr>
      <w:r>
        <w:rPr>
          <w:rFonts w:hint="eastAsia" w:hAnsi="宋体"/>
        </w:rPr>
        <w:t>会员、旅行社用户管理，审核旅行社注册信息，用户状态设置，查询和删除等。通过报表可以分析用户最近的登录次数、用户注册数量、用户交易行为、用户帐户信息、用户分布情况等，形成一个客户管理系统。</w:t>
      </w:r>
    </w:p>
    <w:p>
      <w:pPr>
        <w:pStyle w:val="21"/>
        <w:tabs>
          <w:tab w:val="left" w:pos="630"/>
        </w:tabs>
        <w:snapToGrid w:val="0"/>
        <w:spacing w:line="440" w:lineRule="exact"/>
        <w:ind w:firstLine="424" w:firstLineChars="202"/>
        <w:rPr>
          <w:rFonts w:hAnsi="宋体"/>
        </w:rPr>
      </w:pPr>
      <w:r>
        <w:rPr>
          <w:rFonts w:hint="eastAsia" w:hAnsi="宋体"/>
        </w:rPr>
        <w:t>②票类管理</w:t>
      </w:r>
    </w:p>
    <w:p>
      <w:pPr>
        <w:pStyle w:val="21"/>
        <w:tabs>
          <w:tab w:val="left" w:pos="630"/>
        </w:tabs>
        <w:snapToGrid w:val="0"/>
        <w:spacing w:line="440" w:lineRule="exact"/>
        <w:ind w:firstLine="424" w:firstLineChars="202"/>
        <w:rPr>
          <w:rFonts w:hAnsi="宋体"/>
        </w:rPr>
      </w:pPr>
      <w:r>
        <w:rPr>
          <w:rFonts w:hint="eastAsia" w:hAnsi="宋体"/>
        </w:rPr>
        <w:t>新增、删除、修改票类信息，设置票类的实际价格、网上价格、有效期、是否可网上销售、检票通道、检票次数等信息。</w:t>
      </w:r>
    </w:p>
    <w:p>
      <w:pPr>
        <w:pStyle w:val="21"/>
        <w:tabs>
          <w:tab w:val="left" w:pos="630"/>
        </w:tabs>
        <w:snapToGrid w:val="0"/>
        <w:spacing w:line="440" w:lineRule="exact"/>
        <w:ind w:firstLine="424" w:firstLineChars="202"/>
        <w:rPr>
          <w:rFonts w:hAnsi="宋体"/>
        </w:rPr>
      </w:pPr>
      <w:r>
        <w:rPr>
          <w:rFonts w:hint="eastAsia" w:hAnsi="宋体"/>
        </w:rPr>
        <w:t>③用户管理</w:t>
      </w:r>
    </w:p>
    <w:p>
      <w:pPr>
        <w:pStyle w:val="21"/>
        <w:tabs>
          <w:tab w:val="left" w:pos="630"/>
        </w:tabs>
        <w:snapToGrid w:val="0"/>
        <w:spacing w:line="440" w:lineRule="exact"/>
        <w:ind w:firstLine="424" w:firstLineChars="202"/>
        <w:rPr>
          <w:rFonts w:hAnsi="宋体"/>
        </w:rPr>
      </w:pPr>
      <w:r>
        <w:rPr>
          <w:rFonts w:hint="eastAsia" w:hAnsi="宋体"/>
        </w:rPr>
        <w:t>严格校验后台登录者身份，包括用户名 密码 校验码，以保证系统的安全，登录到后台的操作员的一切操作都会自动记录在操作日志中。</w:t>
      </w:r>
    </w:p>
    <w:p>
      <w:pPr>
        <w:pStyle w:val="21"/>
        <w:tabs>
          <w:tab w:val="left" w:pos="630"/>
        </w:tabs>
        <w:snapToGrid w:val="0"/>
        <w:spacing w:line="440" w:lineRule="exact"/>
        <w:ind w:firstLine="424" w:firstLineChars="202"/>
        <w:rPr>
          <w:rFonts w:hAnsi="宋体"/>
        </w:rPr>
      </w:pPr>
      <w:r>
        <w:rPr>
          <w:rFonts w:hint="eastAsia" w:hAnsi="宋体"/>
        </w:rPr>
        <w:t>包括模块设置、组、组权限设置；后台管理用户增、删、改、查等，用户与组关联设置等。后台权限设置方便，一个用户组可以添加多个业务功能、用户从属于用户组，一个用户只能属于一个用户组。</w:t>
      </w:r>
    </w:p>
    <w:p>
      <w:pPr>
        <w:pStyle w:val="21"/>
        <w:tabs>
          <w:tab w:val="left" w:pos="630"/>
        </w:tabs>
        <w:snapToGrid w:val="0"/>
        <w:spacing w:line="440" w:lineRule="exact"/>
        <w:ind w:firstLine="424" w:firstLineChars="202"/>
        <w:rPr>
          <w:rFonts w:hAnsi="宋体"/>
          <w:b/>
        </w:rPr>
      </w:pPr>
      <w:r>
        <w:rPr>
          <w:rFonts w:hint="eastAsia" w:hAnsi="宋体"/>
        </w:rPr>
        <w:t>1.2.9、</w:t>
      </w:r>
      <w:r>
        <w:rPr>
          <w:rFonts w:hint="eastAsia" w:hAnsi="宋体"/>
          <w:b/>
        </w:rPr>
        <w:t>电子售票模块</w:t>
      </w:r>
    </w:p>
    <w:p>
      <w:pPr>
        <w:pStyle w:val="21"/>
        <w:tabs>
          <w:tab w:val="left" w:pos="630"/>
        </w:tabs>
        <w:snapToGrid w:val="0"/>
        <w:spacing w:line="440" w:lineRule="exact"/>
        <w:ind w:firstLine="424" w:firstLineChars="202"/>
        <w:rPr>
          <w:rFonts w:hAnsi="宋体"/>
        </w:rPr>
      </w:pPr>
      <w:r>
        <w:rPr>
          <w:rFonts w:hint="eastAsia" w:hAnsi="宋体"/>
        </w:rPr>
        <w:t>①电子验票模块</w:t>
      </w:r>
    </w:p>
    <w:p>
      <w:pPr>
        <w:pStyle w:val="21"/>
        <w:tabs>
          <w:tab w:val="left" w:pos="630"/>
        </w:tabs>
        <w:snapToGrid w:val="0"/>
        <w:spacing w:line="440" w:lineRule="exact"/>
        <w:ind w:firstLine="424" w:firstLineChars="202"/>
        <w:rPr>
          <w:rFonts w:hAnsi="宋体"/>
        </w:rPr>
      </w:pPr>
      <w:r>
        <w:rPr>
          <w:rFonts w:hint="eastAsia" w:hAnsi="宋体"/>
        </w:rPr>
        <w:t>电子验票系统由票务机、闸门等设备构成。</w:t>
      </w:r>
    </w:p>
    <w:p>
      <w:pPr>
        <w:pStyle w:val="21"/>
        <w:tabs>
          <w:tab w:val="left" w:pos="630"/>
        </w:tabs>
        <w:snapToGrid w:val="0"/>
        <w:spacing w:line="440" w:lineRule="exact"/>
        <w:ind w:firstLine="424" w:firstLineChars="202"/>
        <w:rPr>
          <w:rFonts w:hAnsi="宋体"/>
        </w:rPr>
      </w:pPr>
      <w:r>
        <w:rPr>
          <w:rFonts w:hint="eastAsia" w:hAnsi="宋体"/>
        </w:rPr>
        <w:t>②汇总结算模块</w:t>
      </w:r>
    </w:p>
    <w:p>
      <w:pPr>
        <w:pStyle w:val="21"/>
        <w:tabs>
          <w:tab w:val="left" w:pos="630"/>
        </w:tabs>
        <w:snapToGrid w:val="0"/>
        <w:spacing w:line="440" w:lineRule="exact"/>
        <w:ind w:firstLine="424" w:firstLineChars="202"/>
        <w:rPr>
          <w:rFonts w:hAnsi="宋体"/>
        </w:rPr>
      </w:pPr>
      <w:r>
        <w:rPr>
          <w:rFonts w:hint="eastAsia" w:hAnsi="宋体"/>
        </w:rPr>
        <w:t>对门票出售情况的统计汇总、结算和数据分析处理。</w:t>
      </w:r>
    </w:p>
    <w:p>
      <w:pPr>
        <w:pStyle w:val="21"/>
        <w:tabs>
          <w:tab w:val="left" w:pos="630"/>
        </w:tabs>
        <w:snapToGrid w:val="0"/>
        <w:spacing w:line="440" w:lineRule="exact"/>
        <w:ind w:firstLine="424" w:firstLineChars="202"/>
        <w:rPr>
          <w:rFonts w:hAnsi="宋体"/>
          <w:b/>
        </w:rPr>
      </w:pPr>
      <w:r>
        <w:rPr>
          <w:rFonts w:hint="eastAsia" w:hAnsi="宋体"/>
        </w:rPr>
        <w:t>1.2.10、</w:t>
      </w:r>
      <w:r>
        <w:rPr>
          <w:rFonts w:hint="eastAsia" w:hAnsi="宋体"/>
          <w:b/>
        </w:rPr>
        <w:t>电子门票销售系统</w:t>
      </w:r>
    </w:p>
    <w:p>
      <w:pPr>
        <w:pStyle w:val="21"/>
        <w:tabs>
          <w:tab w:val="left" w:pos="630"/>
        </w:tabs>
        <w:snapToGrid w:val="0"/>
        <w:spacing w:line="440" w:lineRule="exact"/>
        <w:ind w:firstLine="424" w:firstLineChars="202"/>
        <w:rPr>
          <w:rFonts w:hAnsi="宋体"/>
        </w:rPr>
      </w:pPr>
      <w:r>
        <w:rPr>
          <w:rFonts w:hint="eastAsia" w:hAnsi="宋体"/>
        </w:rPr>
        <w:t>景区电子门票销售平台一方面实现了面向游客的景点电子门票销售；另一方面实现基于互联网的在线门票预订及销售、第三方OTA、B2C平台的分销、旅行社在线分销等，根据订单生成和交付电子门票。</w:t>
      </w:r>
    </w:p>
    <w:p>
      <w:pPr>
        <w:pStyle w:val="21"/>
        <w:tabs>
          <w:tab w:val="left" w:pos="630"/>
        </w:tabs>
        <w:snapToGrid w:val="0"/>
        <w:spacing w:line="440" w:lineRule="exact"/>
        <w:ind w:firstLine="424" w:firstLineChars="202"/>
        <w:rPr>
          <w:rFonts w:hAnsi="宋体"/>
        </w:rPr>
      </w:pPr>
      <w:r>
        <w:rPr>
          <w:rFonts w:hint="eastAsia" w:hAnsi="宋体"/>
        </w:rPr>
        <w:t>景区电子门票销售平台通过应用集成技术，集成数字营销体系应用和运营服务体系应用，以实现市场营销、销售活动、门票服务的流程自动化。</w:t>
      </w:r>
    </w:p>
    <w:p>
      <w:pPr>
        <w:pStyle w:val="21"/>
        <w:tabs>
          <w:tab w:val="left" w:pos="630"/>
        </w:tabs>
        <w:snapToGrid w:val="0"/>
        <w:spacing w:line="440" w:lineRule="exact"/>
        <w:ind w:firstLine="424" w:firstLineChars="202"/>
        <w:rPr>
          <w:rFonts w:hAnsi="宋体"/>
        </w:rPr>
      </w:pPr>
      <w:r>
        <w:rPr>
          <w:rFonts w:hint="eastAsia" w:hAnsi="宋体"/>
        </w:rPr>
        <w:t>对于游客景点电子门票销售管理，利用运营服务体系中的电子门票票务系统来实现的散客门票销售，通过部署在各景点的售票终端，游客可以选择旅游景点购买电子门票、套票，同时这些销售信息通过数据接口传送到营销管理系统和商业智能分析系统。</w:t>
      </w:r>
    </w:p>
    <w:p>
      <w:pPr>
        <w:pStyle w:val="21"/>
        <w:tabs>
          <w:tab w:val="left" w:pos="630"/>
        </w:tabs>
        <w:snapToGrid w:val="0"/>
        <w:spacing w:line="440" w:lineRule="exact"/>
        <w:ind w:firstLine="424" w:firstLineChars="202"/>
        <w:rPr>
          <w:rFonts w:hAnsi="宋体"/>
        </w:rPr>
      </w:pPr>
      <w:r>
        <w:rPr>
          <w:rFonts w:hint="eastAsia" w:hAnsi="宋体"/>
        </w:rPr>
        <w:t>对于旅行社合作伙伴、电子商务平台、呼叫中心电话销售各种渠道的销售订单，由指定的服务部门根据订单内容，利用运营服务体系中的电子门票票务系统完成电子门票的制作，并交付给客户/旅行社，同时并将订单完成的信息通过系统接口传送到各个渠道服务系统和营销管理系统。</w:t>
      </w:r>
    </w:p>
    <w:p>
      <w:pPr>
        <w:pStyle w:val="21"/>
        <w:tabs>
          <w:tab w:val="left" w:pos="630"/>
        </w:tabs>
        <w:snapToGrid w:val="0"/>
        <w:spacing w:line="440" w:lineRule="exact"/>
        <w:ind w:firstLine="424" w:firstLineChars="202"/>
        <w:rPr>
          <w:rFonts w:hAnsi="宋体"/>
        </w:rPr>
      </w:pPr>
    </w:p>
    <w:p>
      <w:pPr>
        <w:pStyle w:val="21"/>
        <w:tabs>
          <w:tab w:val="left" w:pos="630"/>
        </w:tabs>
        <w:snapToGrid w:val="0"/>
        <w:spacing w:line="440" w:lineRule="exact"/>
        <w:ind w:firstLine="424" w:firstLineChars="202"/>
        <w:rPr>
          <w:rFonts w:hAnsi="宋体"/>
        </w:rPr>
      </w:pPr>
      <w:r>
        <w:rPr>
          <w:rFonts w:hint="eastAsia" w:hAnsi="宋体"/>
        </w:rPr>
        <w:t>1.2.11、</w:t>
      </w:r>
      <w:r>
        <w:rPr>
          <w:rFonts w:hint="eastAsia" w:hAnsi="宋体"/>
          <w:b/>
        </w:rPr>
        <w:t>车船管理服务平台</w:t>
      </w:r>
    </w:p>
    <w:p>
      <w:pPr>
        <w:pStyle w:val="21"/>
        <w:tabs>
          <w:tab w:val="left" w:pos="630"/>
        </w:tabs>
        <w:snapToGrid w:val="0"/>
        <w:spacing w:line="440" w:lineRule="exact"/>
        <w:ind w:firstLine="424" w:firstLineChars="202"/>
        <w:rPr>
          <w:rFonts w:hAnsi="宋体"/>
        </w:rPr>
      </w:pPr>
      <w:r>
        <w:rPr>
          <w:rFonts w:hint="eastAsia" w:hAnsi="宋体"/>
        </w:rPr>
        <w:t>车船管理子系统基于物联网、大数据、云计算、移动通信等技术，大大降低停车场管理的难度，使停车场管理更方便、更人性化。对景区游览车辆/游船进行管理和调度，实现车辆/游船运营状态与交通状况的可视化管理。对于车辆/游船：可以更好的利用资源；进行及时必要的维护；延长车辆/游船使用寿命；节约可避免的修理费用和油耗。</w:t>
      </w:r>
    </w:p>
    <w:p>
      <w:pPr>
        <w:pStyle w:val="21"/>
        <w:tabs>
          <w:tab w:val="left" w:pos="630"/>
        </w:tabs>
        <w:snapToGrid w:val="0"/>
        <w:spacing w:line="440" w:lineRule="exact"/>
        <w:ind w:firstLine="424" w:firstLineChars="202"/>
        <w:rPr>
          <w:rFonts w:hAnsi="宋体"/>
        </w:rPr>
      </w:pPr>
      <w:r>
        <w:rPr>
          <w:rFonts w:hint="eastAsia" w:hAnsi="宋体"/>
        </w:rPr>
        <w:t>本项目通过建设车船管理模块，管理景区现有停车场及对接后期游船管理功能接入。</w:t>
      </w:r>
    </w:p>
    <w:p>
      <w:pPr>
        <w:pStyle w:val="99"/>
        <w:spacing w:line="400" w:lineRule="atLeast"/>
        <w:ind w:left="480" w:firstLine="0" w:firstLineChars="0"/>
        <w:rPr>
          <w:rFonts w:ascii="仿宋_GB2312" w:hAnsi="仿宋_GB2312" w:eastAsia="仿宋_GB2312" w:cs="仿宋_GB2312"/>
          <w:bCs/>
          <w:kern w:val="0"/>
          <w:sz w:val="28"/>
          <w:szCs w:val="28"/>
        </w:rPr>
      </w:pPr>
    </w:p>
    <w:p>
      <w:pPr>
        <w:pStyle w:val="35"/>
        <w:tabs>
          <w:tab w:val="left" w:pos="588"/>
        </w:tabs>
        <w:snapToGrid w:val="0"/>
        <w:spacing w:before="120" w:after="120" w:line="440" w:lineRule="exact"/>
        <w:jc w:val="left"/>
        <w:rPr>
          <w:rFonts w:ascii="宋体" w:hAnsi="宋体"/>
          <w:sz w:val="24"/>
          <w:szCs w:val="24"/>
        </w:rPr>
      </w:pPr>
      <w:r>
        <w:rPr>
          <w:rFonts w:hint="eastAsia" w:ascii="宋体" w:hAnsi="宋体"/>
          <w:sz w:val="24"/>
          <w:szCs w:val="24"/>
        </w:rPr>
        <w:t>1.3招标方式</w:t>
      </w:r>
      <w:bookmarkEnd w:id="59"/>
      <w:bookmarkEnd w:id="60"/>
      <w:bookmarkEnd w:id="61"/>
      <w:bookmarkEnd w:id="62"/>
      <w:bookmarkEnd w:id="63"/>
      <w:bookmarkEnd w:id="64"/>
      <w:bookmarkEnd w:id="65"/>
      <w:bookmarkEnd w:id="66"/>
      <w:bookmarkEnd w:id="67"/>
      <w:bookmarkEnd w:id="68"/>
      <w:bookmarkEnd w:id="69"/>
    </w:p>
    <w:p>
      <w:pPr>
        <w:adjustRightInd w:val="0"/>
        <w:snapToGrid w:val="0"/>
        <w:spacing w:line="440" w:lineRule="exact"/>
        <w:ind w:firstLine="424" w:firstLineChars="202"/>
        <w:rPr>
          <w:rFonts w:ascii="宋体" w:hAnsi="宋体" w:cs="宋体"/>
          <w:szCs w:val="21"/>
        </w:rPr>
      </w:pPr>
      <w:r>
        <w:rPr>
          <w:rFonts w:hint="eastAsia" w:ascii="宋体" w:hAnsi="宋体" w:cs="宋体"/>
          <w:szCs w:val="21"/>
        </w:rPr>
        <w:t>1.3. 1招标方式：竞争性磋商。</w:t>
      </w:r>
    </w:p>
    <w:p>
      <w:pPr>
        <w:pStyle w:val="35"/>
        <w:tabs>
          <w:tab w:val="left" w:pos="588"/>
        </w:tabs>
        <w:snapToGrid w:val="0"/>
        <w:spacing w:before="120" w:after="120" w:line="440" w:lineRule="exact"/>
        <w:jc w:val="left"/>
        <w:rPr>
          <w:rFonts w:ascii="宋体" w:hAnsi="宋体"/>
          <w:sz w:val="24"/>
          <w:szCs w:val="24"/>
        </w:rPr>
      </w:pPr>
      <w:bookmarkStart w:id="197" w:name="_Toc226969280"/>
      <w:bookmarkStart w:id="198" w:name="_Toc227057887"/>
      <w:bookmarkStart w:id="199" w:name="_Toc16822"/>
      <w:bookmarkStart w:id="200" w:name="_Toc447188673"/>
      <w:bookmarkStart w:id="201" w:name="_Toc12017907"/>
      <w:bookmarkStart w:id="202" w:name="_Toc2364"/>
      <w:bookmarkStart w:id="203" w:name="_Toc107822485"/>
      <w:bookmarkStart w:id="204" w:name="_Toc17006"/>
      <w:bookmarkStart w:id="205" w:name="_Toc18964"/>
      <w:bookmarkStart w:id="206" w:name="_Toc447265222"/>
      <w:bookmarkStart w:id="207" w:name="_Toc447265508"/>
      <w:bookmarkStart w:id="208" w:name="_Toc226969282"/>
      <w:bookmarkStart w:id="209" w:name="_Toc227057889"/>
      <w:r>
        <w:rPr>
          <w:rFonts w:hint="eastAsia" w:ascii="宋体" w:hAnsi="宋体"/>
          <w:sz w:val="24"/>
          <w:szCs w:val="24"/>
        </w:rPr>
        <w:t>1.4磋商组织形式</w:t>
      </w:r>
      <w:bookmarkEnd w:id="197"/>
      <w:bookmarkEnd w:id="198"/>
      <w:bookmarkEnd w:id="199"/>
      <w:bookmarkEnd w:id="200"/>
      <w:bookmarkEnd w:id="201"/>
      <w:bookmarkEnd w:id="202"/>
      <w:bookmarkEnd w:id="203"/>
      <w:bookmarkEnd w:id="204"/>
      <w:bookmarkEnd w:id="205"/>
      <w:bookmarkEnd w:id="206"/>
      <w:bookmarkEnd w:id="207"/>
    </w:p>
    <w:p>
      <w:pPr>
        <w:adjustRightInd w:val="0"/>
        <w:snapToGrid w:val="0"/>
        <w:spacing w:line="440" w:lineRule="exact"/>
        <w:ind w:firstLine="420" w:firstLineChars="200"/>
        <w:rPr>
          <w:rFonts w:hAnsi="宋体"/>
        </w:rPr>
      </w:pPr>
      <w:r>
        <w:rPr>
          <w:rFonts w:hint="eastAsia" w:ascii="宋体" w:hAnsi="宋体" w:cs="宋体"/>
          <w:szCs w:val="21"/>
        </w:rPr>
        <w:t>本项目由招标人自行组织</w:t>
      </w:r>
      <w:bookmarkEnd w:id="208"/>
      <w:bookmarkEnd w:id="209"/>
      <w:bookmarkStart w:id="210" w:name="_Toc447188675"/>
      <w:bookmarkStart w:id="211" w:name="_Toc447265510"/>
      <w:bookmarkStart w:id="212" w:name="_Toc447265224"/>
      <w:r>
        <w:rPr>
          <w:rFonts w:hint="eastAsia" w:ascii="宋体" w:hAnsi="宋体" w:cs="宋体"/>
          <w:szCs w:val="21"/>
        </w:rPr>
        <w:t>。</w:t>
      </w:r>
    </w:p>
    <w:p>
      <w:pPr>
        <w:pStyle w:val="35"/>
        <w:tabs>
          <w:tab w:val="left" w:pos="588"/>
        </w:tabs>
        <w:snapToGrid w:val="0"/>
        <w:spacing w:before="120" w:after="120" w:line="440" w:lineRule="exact"/>
        <w:jc w:val="left"/>
        <w:rPr>
          <w:rFonts w:ascii="宋体" w:hAnsi="宋体"/>
          <w:sz w:val="24"/>
          <w:szCs w:val="24"/>
        </w:rPr>
      </w:pPr>
      <w:bookmarkStart w:id="213" w:name="_Toc28694"/>
      <w:bookmarkStart w:id="214" w:name="_Toc32070"/>
      <w:bookmarkStart w:id="215" w:name="_Toc6064"/>
      <w:bookmarkStart w:id="216" w:name="_Toc8476"/>
      <w:bookmarkStart w:id="217" w:name="_Toc12017908"/>
      <w:r>
        <w:rPr>
          <w:rFonts w:hint="eastAsia" w:ascii="宋体" w:hAnsi="宋体"/>
          <w:sz w:val="24"/>
          <w:szCs w:val="24"/>
        </w:rPr>
        <w:t>1.5投标人不得存在的情形</w:t>
      </w:r>
      <w:bookmarkEnd w:id="210"/>
      <w:bookmarkEnd w:id="211"/>
      <w:bookmarkEnd w:id="212"/>
      <w:bookmarkEnd w:id="213"/>
      <w:bookmarkEnd w:id="214"/>
      <w:bookmarkEnd w:id="215"/>
      <w:bookmarkEnd w:id="216"/>
      <w:bookmarkEnd w:id="217"/>
    </w:p>
    <w:p>
      <w:pPr>
        <w:pStyle w:val="21"/>
        <w:tabs>
          <w:tab w:val="left" w:pos="630"/>
        </w:tabs>
        <w:snapToGrid w:val="0"/>
        <w:spacing w:beforeLines="50" w:line="440" w:lineRule="exact"/>
        <w:ind w:firstLine="424" w:firstLineChars="202"/>
        <w:rPr>
          <w:rFonts w:hAnsi="宋体"/>
        </w:rPr>
      </w:pPr>
      <w:r>
        <w:rPr>
          <w:rFonts w:hint="eastAsia" w:hAnsi="宋体"/>
        </w:rPr>
        <w:t>1.5.1投标人不得存在下列情形之一</w:t>
      </w:r>
    </w:p>
    <w:p>
      <w:pPr>
        <w:numPr>
          <w:ilvl w:val="0"/>
          <w:numId w:val="7"/>
        </w:numPr>
        <w:tabs>
          <w:tab w:val="left" w:pos="317"/>
          <w:tab w:val="left" w:pos="645"/>
          <w:tab w:val="left" w:pos="993"/>
          <w:tab w:val="clear" w:pos="1146"/>
        </w:tabs>
        <w:adjustRightInd w:val="0"/>
        <w:snapToGrid w:val="0"/>
        <w:spacing w:beforeLines="50" w:line="360" w:lineRule="auto"/>
        <w:ind w:left="34" w:leftChars="16" w:firstLine="390" w:firstLineChars="186"/>
        <w:rPr>
          <w:rFonts w:asciiTheme="minorEastAsia" w:hAnsiTheme="minorEastAsia"/>
          <w:szCs w:val="21"/>
        </w:rPr>
      </w:pPr>
      <w:r>
        <w:rPr>
          <w:rFonts w:hint="eastAsia" w:asciiTheme="minorEastAsia" w:hAnsiTheme="minorEastAsia"/>
          <w:szCs w:val="21"/>
        </w:rPr>
        <w:t>为招标人不具有独立法人资格的附属机构（单位）；</w:t>
      </w:r>
    </w:p>
    <w:p>
      <w:pPr>
        <w:numPr>
          <w:ilvl w:val="0"/>
          <w:numId w:val="7"/>
        </w:numPr>
        <w:tabs>
          <w:tab w:val="left" w:pos="317"/>
          <w:tab w:val="left" w:pos="645"/>
          <w:tab w:val="left" w:pos="993"/>
          <w:tab w:val="clear" w:pos="1146"/>
        </w:tabs>
        <w:adjustRightInd w:val="0"/>
        <w:snapToGrid w:val="0"/>
        <w:spacing w:line="360" w:lineRule="auto"/>
        <w:ind w:left="34" w:leftChars="16" w:firstLine="390" w:firstLineChars="186"/>
        <w:rPr>
          <w:rFonts w:asciiTheme="minorEastAsia" w:hAnsiTheme="minorEastAsia"/>
          <w:szCs w:val="21"/>
        </w:rPr>
      </w:pPr>
      <w:r>
        <w:rPr>
          <w:rFonts w:hint="eastAsia" w:asciiTheme="minorEastAsia" w:hAnsiTheme="minorEastAsia"/>
          <w:szCs w:val="21"/>
        </w:rPr>
        <w:t>被责令停业或破产状态的；</w:t>
      </w:r>
    </w:p>
    <w:p>
      <w:pPr>
        <w:numPr>
          <w:ilvl w:val="0"/>
          <w:numId w:val="7"/>
        </w:numPr>
        <w:tabs>
          <w:tab w:val="left" w:pos="317"/>
          <w:tab w:val="left" w:pos="645"/>
          <w:tab w:val="left" w:pos="993"/>
          <w:tab w:val="clear" w:pos="1146"/>
        </w:tabs>
        <w:adjustRightInd w:val="0"/>
        <w:snapToGrid w:val="0"/>
        <w:spacing w:line="360" w:lineRule="auto"/>
        <w:ind w:left="34" w:leftChars="16" w:firstLine="390" w:firstLineChars="186"/>
        <w:rPr>
          <w:rFonts w:asciiTheme="minorEastAsia" w:hAnsiTheme="minorEastAsia"/>
          <w:szCs w:val="21"/>
        </w:rPr>
      </w:pPr>
      <w:r>
        <w:rPr>
          <w:rFonts w:hint="eastAsia" w:asciiTheme="minorEastAsia" w:hAnsiTheme="minorEastAsia"/>
          <w:szCs w:val="21"/>
        </w:rPr>
        <w:t>被暂停或取消投标/投标资格的；</w:t>
      </w:r>
    </w:p>
    <w:p>
      <w:pPr>
        <w:numPr>
          <w:ilvl w:val="0"/>
          <w:numId w:val="7"/>
        </w:numPr>
        <w:tabs>
          <w:tab w:val="left" w:pos="0"/>
          <w:tab w:val="left" w:pos="317"/>
          <w:tab w:val="left" w:pos="645"/>
          <w:tab w:val="left" w:pos="993"/>
          <w:tab w:val="clear" w:pos="1146"/>
        </w:tabs>
        <w:adjustRightInd w:val="0"/>
        <w:snapToGrid w:val="0"/>
        <w:spacing w:line="360" w:lineRule="auto"/>
        <w:ind w:left="34" w:leftChars="16" w:firstLine="390" w:firstLineChars="186"/>
        <w:rPr>
          <w:rFonts w:asciiTheme="minorEastAsia" w:hAnsiTheme="minorEastAsia"/>
          <w:szCs w:val="21"/>
        </w:rPr>
      </w:pPr>
      <w:r>
        <w:rPr>
          <w:rFonts w:hint="eastAsia" w:asciiTheme="minorEastAsia" w:hAnsiTheme="minorEastAsia"/>
          <w:szCs w:val="21"/>
        </w:rPr>
        <w:t>财产被重组、接管、查封、扣押或冻结的；</w:t>
      </w:r>
    </w:p>
    <w:p>
      <w:pPr>
        <w:numPr>
          <w:ilvl w:val="0"/>
          <w:numId w:val="7"/>
        </w:numPr>
        <w:tabs>
          <w:tab w:val="left" w:pos="317"/>
          <w:tab w:val="left" w:pos="645"/>
          <w:tab w:val="left" w:pos="993"/>
          <w:tab w:val="clear" w:pos="1146"/>
        </w:tabs>
        <w:adjustRightInd w:val="0"/>
        <w:snapToGrid w:val="0"/>
        <w:spacing w:line="360" w:lineRule="auto"/>
        <w:ind w:left="34" w:leftChars="16" w:firstLine="390" w:firstLineChars="186"/>
        <w:rPr>
          <w:rFonts w:asciiTheme="minorEastAsia" w:hAnsiTheme="minorEastAsia"/>
          <w:szCs w:val="21"/>
        </w:rPr>
      </w:pPr>
      <w:r>
        <w:rPr>
          <w:rFonts w:hint="eastAsia" w:asciiTheme="minorEastAsia" w:hAnsiTheme="minorEastAsia"/>
          <w:szCs w:val="21"/>
        </w:rPr>
        <w:t>在最近三年内骗取中标/中选的；</w:t>
      </w:r>
    </w:p>
    <w:p>
      <w:pPr>
        <w:numPr>
          <w:ilvl w:val="0"/>
          <w:numId w:val="7"/>
        </w:numPr>
        <w:tabs>
          <w:tab w:val="left" w:pos="317"/>
          <w:tab w:val="left" w:pos="645"/>
          <w:tab w:val="left" w:pos="993"/>
          <w:tab w:val="clear" w:pos="1146"/>
        </w:tabs>
        <w:adjustRightInd w:val="0"/>
        <w:snapToGrid w:val="0"/>
        <w:spacing w:line="360" w:lineRule="auto"/>
        <w:ind w:left="34" w:leftChars="16" w:firstLine="390" w:firstLineChars="186"/>
        <w:rPr>
          <w:rFonts w:asciiTheme="minorEastAsia" w:hAnsiTheme="minorEastAsia"/>
          <w:szCs w:val="21"/>
        </w:rPr>
      </w:pPr>
      <w:r>
        <w:rPr>
          <w:rFonts w:hint="eastAsia" w:asciiTheme="minorEastAsia" w:hAnsiTheme="minorEastAsia"/>
          <w:szCs w:val="21"/>
        </w:rPr>
        <w:t xml:space="preserve">在最近三年内因严重违反合同约定被解除合同/协议，或取消供应商资格的； </w:t>
      </w:r>
    </w:p>
    <w:p>
      <w:pPr>
        <w:tabs>
          <w:tab w:val="left" w:pos="630"/>
          <w:tab w:val="left" w:pos="1146"/>
        </w:tabs>
        <w:adjustRightInd w:val="0"/>
        <w:snapToGrid w:val="0"/>
        <w:spacing w:line="360" w:lineRule="auto"/>
        <w:ind w:left="425"/>
        <w:rPr>
          <w:rFonts w:asciiTheme="minorEastAsia" w:hAnsiTheme="minorEastAsia" w:eastAsiaTheme="minorEastAsia"/>
          <w:b/>
        </w:rPr>
      </w:pPr>
      <w:r>
        <w:rPr>
          <w:rFonts w:hint="eastAsia" w:asciiTheme="minorEastAsia" w:hAnsiTheme="minorEastAsia" w:eastAsiaTheme="minorEastAsia"/>
        </w:rPr>
        <w:t>投标人是代理商的，本条所指的投标人也包括其所代理的制造商。</w:t>
      </w:r>
    </w:p>
    <w:p>
      <w:pPr>
        <w:pStyle w:val="21"/>
        <w:tabs>
          <w:tab w:val="left" w:pos="630"/>
        </w:tabs>
        <w:snapToGrid w:val="0"/>
        <w:spacing w:line="440" w:lineRule="exact"/>
        <w:ind w:firstLine="424" w:firstLineChars="202"/>
        <w:rPr>
          <w:rFonts w:hAnsi="宋体"/>
        </w:rPr>
      </w:pPr>
      <w:r>
        <w:rPr>
          <w:rFonts w:hint="eastAsia" w:hAnsi="宋体"/>
        </w:rPr>
        <w:t>1.5.2单位负责人为同一人或者存在控股、管理关系的不同单位，不得同时参加本项目中同一分包招标或者未划分分包的同一项目招标。</w:t>
      </w:r>
    </w:p>
    <w:p>
      <w:pPr>
        <w:pStyle w:val="35"/>
        <w:tabs>
          <w:tab w:val="left" w:pos="588"/>
        </w:tabs>
        <w:snapToGrid w:val="0"/>
        <w:spacing w:before="120" w:after="120" w:line="440" w:lineRule="exact"/>
        <w:jc w:val="left"/>
        <w:rPr>
          <w:rFonts w:ascii="宋体" w:hAnsi="宋体"/>
          <w:sz w:val="24"/>
          <w:szCs w:val="24"/>
        </w:rPr>
      </w:pPr>
      <w:bookmarkStart w:id="218" w:name="_Toc447188676"/>
      <w:bookmarkStart w:id="219" w:name="_Toc227057890"/>
      <w:bookmarkStart w:id="220" w:name="_Toc447265225"/>
      <w:bookmarkStart w:id="221" w:name="_Toc6103"/>
      <w:bookmarkStart w:id="222" w:name="_Toc226969284"/>
      <w:bookmarkStart w:id="223" w:name="_Toc4784"/>
      <w:bookmarkStart w:id="224" w:name="_Toc12017909"/>
      <w:bookmarkStart w:id="225" w:name="_Toc22887"/>
      <w:bookmarkStart w:id="226" w:name="_Toc10494"/>
      <w:bookmarkStart w:id="227" w:name="_Toc447265511"/>
      <w:bookmarkStart w:id="228" w:name="_Toc107822487"/>
      <w:r>
        <w:rPr>
          <w:rFonts w:hint="eastAsia" w:ascii="宋体" w:hAnsi="宋体"/>
          <w:sz w:val="24"/>
          <w:szCs w:val="24"/>
        </w:rPr>
        <w:t>1.6合格的货物和服务</w:t>
      </w:r>
      <w:bookmarkEnd w:id="218"/>
      <w:bookmarkEnd w:id="219"/>
      <w:bookmarkEnd w:id="220"/>
      <w:bookmarkEnd w:id="221"/>
      <w:bookmarkEnd w:id="222"/>
      <w:bookmarkEnd w:id="223"/>
      <w:bookmarkEnd w:id="224"/>
      <w:bookmarkEnd w:id="225"/>
      <w:bookmarkEnd w:id="226"/>
      <w:bookmarkEnd w:id="227"/>
      <w:bookmarkEnd w:id="228"/>
    </w:p>
    <w:p>
      <w:pPr>
        <w:pStyle w:val="21"/>
        <w:tabs>
          <w:tab w:val="left" w:pos="630"/>
        </w:tabs>
        <w:snapToGrid w:val="0"/>
        <w:spacing w:line="440" w:lineRule="exact"/>
        <w:ind w:firstLine="283" w:firstLineChars="135"/>
        <w:rPr>
          <w:rFonts w:hAnsi="宋体"/>
        </w:rPr>
      </w:pPr>
      <w:r>
        <w:rPr>
          <w:rFonts w:hint="eastAsia" w:hAnsi="宋体"/>
        </w:rPr>
        <w:t>1.6.1投标人提供的所有货物及其有关服务的原产地，均应当来自中国或者是与中国有正常贸易往来的国家或者地区。招标人的支付也仅限于这些货物和服务。</w:t>
      </w:r>
    </w:p>
    <w:p>
      <w:pPr>
        <w:pStyle w:val="21"/>
        <w:tabs>
          <w:tab w:val="left" w:pos="630"/>
        </w:tabs>
        <w:snapToGrid w:val="0"/>
        <w:spacing w:line="440" w:lineRule="exact"/>
        <w:ind w:firstLine="283" w:firstLineChars="135"/>
        <w:rPr>
          <w:rFonts w:hAnsi="宋体"/>
        </w:rPr>
      </w:pPr>
      <w:r>
        <w:rPr>
          <w:rFonts w:hint="eastAsia" w:hAnsi="宋体"/>
        </w:rPr>
        <w:t>1.6.2本竞争性磋商文件所属的“原产地”是指货物开采、生长、生产或者提供有关服务的来源地。所述的“货物”是指制造、加工或者实质上装配了主要部件而形成的货物。商业上公认的产品是指基本特征、性能或者功能上与部件有着实质性区别的产品。</w:t>
      </w:r>
    </w:p>
    <w:p>
      <w:pPr>
        <w:pStyle w:val="21"/>
        <w:tabs>
          <w:tab w:val="left" w:pos="630"/>
        </w:tabs>
        <w:snapToGrid w:val="0"/>
        <w:spacing w:line="440" w:lineRule="exact"/>
        <w:ind w:firstLine="283" w:firstLineChars="135"/>
        <w:rPr>
          <w:rFonts w:hAnsi="宋体"/>
        </w:rPr>
      </w:pPr>
      <w:r>
        <w:rPr>
          <w:rFonts w:hint="eastAsia" w:hAnsi="宋体"/>
        </w:rPr>
        <w:t>1.6.3投标人提供的所有货物及其有关服务应当符合国家规定的资格条件。</w:t>
      </w:r>
    </w:p>
    <w:p>
      <w:pPr>
        <w:pStyle w:val="35"/>
        <w:tabs>
          <w:tab w:val="left" w:pos="588"/>
        </w:tabs>
        <w:snapToGrid w:val="0"/>
        <w:spacing w:before="120" w:after="120" w:line="440" w:lineRule="exact"/>
        <w:jc w:val="left"/>
        <w:rPr>
          <w:rFonts w:ascii="宋体" w:hAnsi="宋体"/>
          <w:sz w:val="24"/>
          <w:szCs w:val="24"/>
        </w:rPr>
      </w:pPr>
      <w:bookmarkStart w:id="229" w:name="_Toc24445"/>
      <w:bookmarkStart w:id="230" w:name="_Toc447265227"/>
      <w:bookmarkStart w:id="231" w:name="_Toc447265513"/>
      <w:bookmarkStart w:id="232" w:name="_Toc2066"/>
      <w:bookmarkStart w:id="233" w:name="_Toc1169"/>
      <w:bookmarkStart w:id="234" w:name="_Toc11909"/>
      <w:bookmarkStart w:id="235" w:name="_Toc12017910"/>
      <w:bookmarkStart w:id="236" w:name="_Toc107822489"/>
      <w:bookmarkStart w:id="237" w:name="_Toc227057892"/>
      <w:bookmarkStart w:id="238" w:name="_Toc226969286"/>
      <w:bookmarkStart w:id="868" w:name="_GoBack"/>
      <w:bookmarkEnd w:id="868"/>
      <w:r>
        <w:rPr>
          <w:rFonts w:hint="eastAsia" w:ascii="宋体" w:hAnsi="宋体"/>
          <w:sz w:val="24"/>
          <w:szCs w:val="24"/>
        </w:rPr>
        <w:t>1.7保密</w:t>
      </w:r>
      <w:bookmarkEnd w:id="229"/>
      <w:bookmarkEnd w:id="230"/>
      <w:bookmarkEnd w:id="231"/>
      <w:bookmarkEnd w:id="232"/>
      <w:bookmarkEnd w:id="233"/>
      <w:bookmarkEnd w:id="234"/>
      <w:bookmarkEnd w:id="235"/>
    </w:p>
    <w:p>
      <w:pPr>
        <w:adjustRightInd w:val="0"/>
        <w:snapToGrid w:val="0"/>
        <w:spacing w:line="440" w:lineRule="exact"/>
        <w:ind w:firstLine="420" w:firstLineChars="200"/>
        <w:rPr>
          <w:rFonts w:ascii="宋体" w:hAnsi="宋体" w:cs="宋体"/>
          <w:szCs w:val="21"/>
        </w:rPr>
      </w:pPr>
      <w:r>
        <w:rPr>
          <w:rFonts w:hint="eastAsia" w:ascii="宋体" w:hAnsi="宋体" w:cs="宋体"/>
          <w:szCs w:val="21"/>
        </w:rPr>
        <w:t>参与招标活动的各方应当对竞争性磋商文件和投标文件中的商业和技术等秘密保密，违者应当对由此造成的后果承担法律责任。</w:t>
      </w:r>
    </w:p>
    <w:p>
      <w:pPr>
        <w:pStyle w:val="35"/>
        <w:numPr>
          <w:ilvl w:val="0"/>
          <w:numId w:val="6"/>
        </w:numPr>
        <w:tabs>
          <w:tab w:val="left" w:pos="588"/>
        </w:tabs>
        <w:snapToGrid w:val="0"/>
        <w:spacing w:before="120" w:after="120" w:line="440" w:lineRule="exact"/>
        <w:ind w:left="0" w:firstLine="0"/>
        <w:jc w:val="left"/>
        <w:rPr>
          <w:rFonts w:ascii="宋体" w:hAnsi="宋体"/>
          <w:sz w:val="28"/>
          <w:szCs w:val="28"/>
        </w:rPr>
      </w:pPr>
      <w:bookmarkStart w:id="239" w:name="_Toc12017911"/>
      <w:r>
        <w:rPr>
          <w:rFonts w:hint="eastAsia" w:ascii="宋体" w:hAnsi="宋体"/>
          <w:sz w:val="28"/>
          <w:szCs w:val="28"/>
        </w:rPr>
        <w:t>竞争性磋商文件</w:t>
      </w:r>
      <w:bookmarkEnd w:id="239"/>
    </w:p>
    <w:p>
      <w:pPr>
        <w:pStyle w:val="35"/>
        <w:tabs>
          <w:tab w:val="left" w:pos="588"/>
        </w:tabs>
        <w:snapToGrid w:val="0"/>
        <w:spacing w:before="120" w:after="120" w:line="440" w:lineRule="exact"/>
        <w:jc w:val="left"/>
        <w:rPr>
          <w:rFonts w:ascii="宋体" w:hAnsi="宋体"/>
          <w:sz w:val="24"/>
          <w:szCs w:val="24"/>
        </w:rPr>
      </w:pPr>
      <w:bookmarkStart w:id="240" w:name="_Toc447265515"/>
      <w:bookmarkStart w:id="241" w:name="_Toc11444"/>
      <w:bookmarkStart w:id="242" w:name="_Toc28205"/>
      <w:bookmarkStart w:id="243" w:name="_Toc447265229"/>
      <w:bookmarkStart w:id="244" w:name="_Toc12017912"/>
      <w:bookmarkStart w:id="245" w:name="_Toc447188679"/>
      <w:bookmarkStart w:id="246" w:name="_Toc18340"/>
      <w:bookmarkStart w:id="247" w:name="_Toc10562"/>
      <w:r>
        <w:rPr>
          <w:rFonts w:hint="eastAsia" w:ascii="宋体" w:hAnsi="宋体"/>
          <w:sz w:val="24"/>
          <w:szCs w:val="24"/>
        </w:rPr>
        <w:t>2.1竞争性磋商文件</w:t>
      </w:r>
      <w:bookmarkEnd w:id="236"/>
      <w:r>
        <w:rPr>
          <w:rFonts w:hint="eastAsia" w:ascii="宋体" w:hAnsi="宋体"/>
          <w:sz w:val="24"/>
          <w:szCs w:val="24"/>
        </w:rPr>
        <w:t>的组成</w:t>
      </w:r>
      <w:bookmarkEnd w:id="237"/>
      <w:bookmarkEnd w:id="238"/>
      <w:bookmarkEnd w:id="240"/>
      <w:bookmarkEnd w:id="241"/>
      <w:bookmarkEnd w:id="242"/>
      <w:bookmarkEnd w:id="243"/>
      <w:bookmarkEnd w:id="244"/>
      <w:bookmarkEnd w:id="245"/>
      <w:bookmarkEnd w:id="246"/>
      <w:bookmarkEnd w:id="247"/>
    </w:p>
    <w:p>
      <w:pPr>
        <w:pStyle w:val="21"/>
        <w:tabs>
          <w:tab w:val="left" w:pos="630"/>
        </w:tabs>
        <w:snapToGrid w:val="0"/>
        <w:spacing w:line="440" w:lineRule="exact"/>
        <w:ind w:firstLine="424" w:firstLineChars="202"/>
        <w:rPr>
          <w:rFonts w:hAnsi="宋体"/>
        </w:rPr>
      </w:pPr>
      <w:r>
        <w:rPr>
          <w:rFonts w:hint="eastAsia" w:hAnsi="宋体"/>
        </w:rPr>
        <w:t>2.1.1竞争性磋商文件一般由以下部分组成：</w:t>
      </w:r>
    </w:p>
    <w:p>
      <w:pPr>
        <w:adjustRightInd w:val="0"/>
        <w:snapToGrid w:val="0"/>
        <w:spacing w:line="440" w:lineRule="exact"/>
        <w:ind w:firstLine="424" w:firstLineChars="202"/>
        <w:rPr>
          <w:rFonts w:ascii="宋体" w:hAnsi="宋体" w:cs="宋体"/>
          <w:szCs w:val="21"/>
        </w:rPr>
      </w:pPr>
      <w:r>
        <w:rPr>
          <w:rFonts w:hint="eastAsia" w:ascii="宋体" w:hAnsi="宋体" w:cs="宋体"/>
          <w:szCs w:val="21"/>
        </w:rPr>
        <w:t>第一章招标公告</w:t>
      </w:r>
      <w:r>
        <w:rPr>
          <w:rFonts w:ascii="宋体" w:hAnsi="宋体" w:cs="宋体"/>
          <w:szCs w:val="21"/>
        </w:rPr>
        <w:t>/投标邀请书</w:t>
      </w:r>
    </w:p>
    <w:p>
      <w:pPr>
        <w:adjustRightInd w:val="0"/>
        <w:snapToGrid w:val="0"/>
        <w:spacing w:line="440" w:lineRule="exact"/>
        <w:ind w:firstLine="424" w:firstLineChars="202"/>
        <w:rPr>
          <w:rFonts w:ascii="宋体" w:hAnsi="宋体" w:cs="宋体"/>
          <w:szCs w:val="21"/>
        </w:rPr>
      </w:pPr>
      <w:r>
        <w:rPr>
          <w:rFonts w:hint="eastAsia" w:ascii="宋体" w:hAnsi="宋体" w:cs="宋体"/>
          <w:szCs w:val="21"/>
        </w:rPr>
        <w:t>第二章投标人须知</w:t>
      </w:r>
    </w:p>
    <w:p>
      <w:pPr>
        <w:adjustRightInd w:val="0"/>
        <w:snapToGrid w:val="0"/>
        <w:spacing w:line="440" w:lineRule="exact"/>
        <w:ind w:firstLine="424" w:firstLineChars="202"/>
        <w:rPr>
          <w:rFonts w:ascii="宋体" w:hAnsi="宋体" w:cs="宋体"/>
          <w:szCs w:val="21"/>
        </w:rPr>
      </w:pPr>
      <w:r>
        <w:rPr>
          <w:rFonts w:hint="eastAsia" w:ascii="宋体" w:hAnsi="宋体" w:cs="宋体"/>
          <w:szCs w:val="21"/>
        </w:rPr>
        <w:t>第三章评选办法</w:t>
      </w:r>
    </w:p>
    <w:p>
      <w:pPr>
        <w:adjustRightInd w:val="0"/>
        <w:snapToGrid w:val="0"/>
        <w:spacing w:line="440" w:lineRule="exact"/>
        <w:ind w:firstLine="424" w:firstLineChars="202"/>
        <w:rPr>
          <w:rFonts w:ascii="宋体" w:hAnsi="宋体" w:cs="宋体"/>
          <w:szCs w:val="21"/>
        </w:rPr>
      </w:pPr>
      <w:r>
        <w:rPr>
          <w:rFonts w:hint="eastAsia" w:ascii="宋体" w:hAnsi="宋体" w:cs="宋体"/>
          <w:szCs w:val="21"/>
        </w:rPr>
        <w:t>第四章合同签订与验收付款</w:t>
      </w:r>
    </w:p>
    <w:p>
      <w:pPr>
        <w:adjustRightInd w:val="0"/>
        <w:snapToGrid w:val="0"/>
        <w:spacing w:line="440" w:lineRule="exact"/>
        <w:ind w:firstLine="424" w:firstLineChars="202"/>
        <w:rPr>
          <w:rFonts w:ascii="宋体" w:hAnsi="宋体" w:cs="宋体"/>
          <w:szCs w:val="21"/>
        </w:rPr>
      </w:pPr>
      <w:r>
        <w:rPr>
          <w:rFonts w:hint="eastAsia" w:ascii="宋体" w:hAnsi="宋体" w:cs="宋体"/>
          <w:szCs w:val="21"/>
        </w:rPr>
        <w:t>第五章 技术标准和要求/技术规范书/工作任务书</w:t>
      </w:r>
    </w:p>
    <w:p>
      <w:pPr>
        <w:adjustRightInd w:val="0"/>
        <w:snapToGrid w:val="0"/>
        <w:spacing w:line="440" w:lineRule="exact"/>
        <w:ind w:firstLine="424" w:firstLineChars="202"/>
        <w:rPr>
          <w:rFonts w:ascii="宋体" w:hAnsi="宋体" w:cs="宋体"/>
          <w:szCs w:val="21"/>
        </w:rPr>
      </w:pPr>
      <w:r>
        <w:rPr>
          <w:rFonts w:hint="eastAsia" w:ascii="宋体" w:hAnsi="宋体" w:cs="宋体"/>
          <w:szCs w:val="21"/>
        </w:rPr>
        <w:t>第六章投标文件格式</w:t>
      </w:r>
    </w:p>
    <w:p>
      <w:pPr>
        <w:adjustRightInd w:val="0"/>
        <w:snapToGrid w:val="0"/>
        <w:spacing w:line="440" w:lineRule="exact"/>
        <w:ind w:firstLine="424" w:firstLineChars="202"/>
        <w:rPr>
          <w:rFonts w:ascii="宋体" w:hAnsi="宋体" w:cs="宋体"/>
          <w:szCs w:val="21"/>
        </w:rPr>
      </w:pPr>
      <w:r>
        <w:rPr>
          <w:rFonts w:hint="eastAsia" w:ascii="宋体" w:hAnsi="宋体" w:cs="宋体"/>
          <w:szCs w:val="21"/>
        </w:rPr>
        <w:t>第七章 其他</w:t>
      </w:r>
    </w:p>
    <w:p>
      <w:pPr>
        <w:pStyle w:val="21"/>
        <w:tabs>
          <w:tab w:val="left" w:pos="630"/>
        </w:tabs>
        <w:snapToGrid w:val="0"/>
        <w:spacing w:line="440" w:lineRule="exact"/>
        <w:ind w:firstLine="424" w:firstLineChars="202"/>
        <w:rPr>
          <w:rFonts w:hAnsi="宋体"/>
        </w:rPr>
      </w:pPr>
      <w:r>
        <w:rPr>
          <w:rFonts w:hint="eastAsia" w:hAnsi="宋体"/>
        </w:rPr>
        <w:t>2.1.2竞争性磋商文件对同一内容的表述应当一致。第一章“招标公告”或者“投标邀请书”与竞争性磋商文件在同一内容的表述上有矛盾或者冲突时，以第一章“招标公告”或者“投标邀请书”为准。</w:t>
      </w:r>
      <w:r>
        <w:rPr>
          <w:rFonts w:hAnsi="宋体"/>
        </w:rPr>
        <w:t xml:space="preserve"> </w:t>
      </w:r>
    </w:p>
    <w:p>
      <w:pPr>
        <w:pStyle w:val="35"/>
        <w:tabs>
          <w:tab w:val="left" w:pos="588"/>
        </w:tabs>
        <w:snapToGrid w:val="0"/>
        <w:spacing w:before="120" w:after="120" w:line="440" w:lineRule="exact"/>
        <w:jc w:val="left"/>
        <w:rPr>
          <w:rFonts w:ascii="宋体" w:hAnsi="宋体"/>
          <w:sz w:val="24"/>
          <w:szCs w:val="24"/>
        </w:rPr>
      </w:pPr>
      <w:bookmarkStart w:id="248" w:name="_Toc15338"/>
      <w:bookmarkStart w:id="249" w:name="_Toc447188680"/>
      <w:bookmarkStart w:id="250" w:name="_Toc447265230"/>
      <w:bookmarkStart w:id="251" w:name="_Toc25642"/>
      <w:bookmarkStart w:id="252" w:name="_Toc12017913"/>
      <w:bookmarkStart w:id="253" w:name="_Toc14812"/>
      <w:bookmarkStart w:id="254" w:name="_Toc447265516"/>
      <w:bookmarkStart w:id="255" w:name="_Toc25256"/>
      <w:bookmarkStart w:id="256" w:name="_Toc227057893"/>
      <w:bookmarkStart w:id="257" w:name="_Toc107822490"/>
      <w:bookmarkStart w:id="258" w:name="_Toc226969287"/>
      <w:r>
        <w:rPr>
          <w:rFonts w:ascii="宋体" w:hAnsi="宋体"/>
          <w:sz w:val="24"/>
          <w:szCs w:val="24"/>
        </w:rPr>
        <w:t>2.2</w:t>
      </w:r>
      <w:r>
        <w:rPr>
          <w:rFonts w:hint="eastAsia" w:ascii="宋体" w:hAnsi="宋体"/>
          <w:sz w:val="24"/>
          <w:szCs w:val="24"/>
        </w:rPr>
        <w:t>踏勘现场</w:t>
      </w:r>
      <w:bookmarkEnd w:id="248"/>
      <w:bookmarkEnd w:id="249"/>
      <w:bookmarkEnd w:id="250"/>
      <w:bookmarkEnd w:id="251"/>
      <w:bookmarkEnd w:id="252"/>
      <w:bookmarkEnd w:id="253"/>
      <w:bookmarkEnd w:id="254"/>
      <w:bookmarkEnd w:id="255"/>
    </w:p>
    <w:p>
      <w:pPr>
        <w:pStyle w:val="21"/>
        <w:tabs>
          <w:tab w:val="left" w:pos="630"/>
        </w:tabs>
        <w:snapToGrid w:val="0"/>
        <w:spacing w:line="440" w:lineRule="exact"/>
        <w:ind w:firstLine="283" w:firstLineChars="135"/>
        <w:rPr>
          <w:rFonts w:hAnsi="宋体"/>
        </w:rPr>
      </w:pPr>
      <w:r>
        <w:rPr>
          <w:rFonts w:hint="eastAsia" w:hAnsi="宋体"/>
        </w:rPr>
        <w:t xml:space="preserve">2.2.1投标人组织踏勘现场的，招标人按照规定的时间、地点组织投标人踏勘项目现场。 </w:t>
      </w:r>
    </w:p>
    <w:p>
      <w:pPr>
        <w:pStyle w:val="21"/>
        <w:tabs>
          <w:tab w:val="left" w:pos="630"/>
        </w:tabs>
        <w:snapToGrid w:val="0"/>
        <w:spacing w:line="440" w:lineRule="exact"/>
        <w:ind w:firstLine="283" w:firstLineChars="135"/>
        <w:rPr>
          <w:rFonts w:hAnsi="宋体"/>
        </w:rPr>
      </w:pPr>
      <w:r>
        <w:rPr>
          <w:rFonts w:hAnsi="宋体"/>
        </w:rPr>
        <w:t>2.2.2</w:t>
      </w:r>
      <w:r>
        <w:rPr>
          <w:rFonts w:hint="eastAsia" w:hAnsi="宋体"/>
        </w:rPr>
        <w:t>潜在投标人踏勘现场发生的费用自理。</w:t>
      </w:r>
    </w:p>
    <w:p>
      <w:pPr>
        <w:pStyle w:val="21"/>
        <w:tabs>
          <w:tab w:val="left" w:pos="630"/>
        </w:tabs>
        <w:snapToGrid w:val="0"/>
        <w:spacing w:line="440" w:lineRule="exact"/>
        <w:ind w:firstLine="283" w:firstLineChars="135"/>
        <w:rPr>
          <w:rFonts w:hAnsi="宋体"/>
        </w:rPr>
      </w:pPr>
      <w:r>
        <w:rPr>
          <w:rFonts w:hAnsi="宋体"/>
        </w:rPr>
        <w:t>2.2.3</w:t>
      </w:r>
      <w:r>
        <w:rPr>
          <w:rFonts w:hint="eastAsia" w:hAnsi="宋体"/>
        </w:rPr>
        <w:t>除招标人的原因外，潜在投标人自行负责在踏勘现场中所发生的人员伤亡和财产损失。</w:t>
      </w:r>
    </w:p>
    <w:p>
      <w:pPr>
        <w:pStyle w:val="21"/>
        <w:tabs>
          <w:tab w:val="left" w:pos="630"/>
        </w:tabs>
        <w:snapToGrid w:val="0"/>
        <w:spacing w:line="440" w:lineRule="exact"/>
        <w:ind w:firstLine="283" w:firstLineChars="135"/>
        <w:rPr>
          <w:rFonts w:hAnsi="宋体"/>
        </w:rPr>
      </w:pPr>
      <w:r>
        <w:rPr>
          <w:rFonts w:hAnsi="宋体"/>
        </w:rPr>
        <w:t>2.2.4</w:t>
      </w:r>
      <w:r>
        <w:rPr>
          <w:rFonts w:hint="eastAsia" w:hAnsi="宋体"/>
        </w:rPr>
        <w:t>招标人在踏勘现场中介绍的项目现场和相关的周边环境情况，供潜在投标人在编制投标文件时参考，招标人不对投标人据此作出的判断和决策负责。</w:t>
      </w:r>
    </w:p>
    <w:bookmarkEnd w:id="256"/>
    <w:bookmarkEnd w:id="257"/>
    <w:bookmarkEnd w:id="258"/>
    <w:p>
      <w:pPr>
        <w:pStyle w:val="35"/>
        <w:numPr>
          <w:ilvl w:val="0"/>
          <w:numId w:val="6"/>
        </w:numPr>
        <w:tabs>
          <w:tab w:val="left" w:pos="588"/>
        </w:tabs>
        <w:snapToGrid w:val="0"/>
        <w:spacing w:before="120" w:after="120" w:line="440" w:lineRule="exact"/>
        <w:ind w:left="0" w:firstLine="0"/>
        <w:jc w:val="left"/>
        <w:rPr>
          <w:rFonts w:ascii="宋体" w:hAnsi="宋体"/>
          <w:sz w:val="28"/>
          <w:szCs w:val="28"/>
        </w:rPr>
      </w:pPr>
      <w:bookmarkStart w:id="259" w:name="_Toc29188"/>
      <w:bookmarkStart w:id="260" w:name="_Toc152042322"/>
      <w:bookmarkStart w:id="261" w:name="_Toc144974514"/>
      <w:bookmarkStart w:id="262" w:name="_Toc246996191"/>
      <w:bookmarkStart w:id="263" w:name="_Toc447265233"/>
      <w:bookmarkStart w:id="264" w:name="_Toc447188683"/>
      <w:bookmarkStart w:id="265" w:name="_Toc421"/>
      <w:bookmarkStart w:id="266" w:name="_Toc12017914"/>
      <w:bookmarkStart w:id="267" w:name="_Toc296602436"/>
      <w:bookmarkStart w:id="268" w:name="_Toc246996934"/>
      <w:bookmarkStart w:id="269" w:name="_Toc247085705"/>
      <w:bookmarkStart w:id="270" w:name="_Toc447265519"/>
      <w:bookmarkStart w:id="271" w:name="_Toc176"/>
      <w:bookmarkStart w:id="272" w:name="_Toc22503"/>
      <w:bookmarkStart w:id="273" w:name="_Toc152045546"/>
      <w:bookmarkStart w:id="274" w:name="_Toc179632564"/>
      <w:bookmarkStart w:id="275" w:name="_Toc226969289"/>
      <w:bookmarkStart w:id="276" w:name="_Toc227057895"/>
      <w:bookmarkStart w:id="277" w:name="_Toc107822492"/>
      <w:r>
        <w:rPr>
          <w:rFonts w:hint="eastAsia" w:ascii="宋体" w:hAnsi="宋体"/>
          <w:sz w:val="28"/>
          <w:szCs w:val="28"/>
        </w:rPr>
        <w:t>投标文件</w:t>
      </w:r>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p>
    <w:bookmarkEnd w:id="26"/>
    <w:bookmarkEnd w:id="275"/>
    <w:bookmarkEnd w:id="276"/>
    <w:bookmarkEnd w:id="277"/>
    <w:p>
      <w:pPr>
        <w:pStyle w:val="35"/>
        <w:tabs>
          <w:tab w:val="left" w:pos="588"/>
        </w:tabs>
        <w:snapToGrid w:val="0"/>
        <w:spacing w:before="120" w:after="120" w:line="440" w:lineRule="exact"/>
        <w:jc w:val="left"/>
        <w:rPr>
          <w:rFonts w:ascii="宋体" w:hAnsi="宋体"/>
          <w:sz w:val="24"/>
          <w:szCs w:val="24"/>
        </w:rPr>
      </w:pPr>
      <w:bookmarkStart w:id="278" w:name="_Toc107822493"/>
      <w:bookmarkStart w:id="279" w:name="_Toc227057896"/>
      <w:bookmarkStart w:id="280" w:name="_Toc226969290"/>
      <w:bookmarkStart w:id="281" w:name="_Toc12017915"/>
      <w:bookmarkStart w:id="282" w:name="_Toc450489293"/>
      <w:bookmarkStart w:id="283" w:name="_Toc447265234"/>
      <w:bookmarkStart w:id="284" w:name="_Toc447188684"/>
      <w:bookmarkStart w:id="285" w:name="_Toc17895"/>
      <w:bookmarkStart w:id="286" w:name="_Toc14423"/>
      <w:bookmarkStart w:id="287" w:name="_Toc447265520"/>
      <w:bookmarkStart w:id="288" w:name="_Toc4006"/>
      <w:bookmarkStart w:id="289" w:name="_Toc26887"/>
      <w:bookmarkStart w:id="290" w:name="_Toc447265528"/>
      <w:bookmarkStart w:id="291" w:name="_Toc447265242"/>
      <w:bookmarkStart w:id="292" w:name="_Toc184635074"/>
      <w:bookmarkStart w:id="293" w:name="_Toc107822503"/>
      <w:bookmarkStart w:id="294" w:name="_Toc488655848"/>
      <w:bookmarkStart w:id="295" w:name="_Toc226969300"/>
      <w:bookmarkStart w:id="296" w:name="_Toc227057906"/>
      <w:r>
        <w:rPr>
          <w:rFonts w:hint="eastAsia" w:ascii="宋体" w:hAnsi="宋体"/>
          <w:sz w:val="24"/>
          <w:szCs w:val="24"/>
        </w:rPr>
        <w:t>3.1投标文件的</w:t>
      </w:r>
      <w:bookmarkEnd w:id="278"/>
      <w:bookmarkEnd w:id="279"/>
      <w:bookmarkEnd w:id="280"/>
      <w:r>
        <w:rPr>
          <w:rFonts w:hint="eastAsia" w:ascii="宋体" w:hAnsi="宋体"/>
          <w:sz w:val="24"/>
          <w:szCs w:val="24"/>
        </w:rPr>
        <w:t>组成</w:t>
      </w:r>
      <w:bookmarkEnd w:id="281"/>
      <w:bookmarkEnd w:id="282"/>
      <w:bookmarkEnd w:id="283"/>
      <w:bookmarkEnd w:id="284"/>
      <w:bookmarkEnd w:id="285"/>
      <w:bookmarkEnd w:id="286"/>
      <w:bookmarkEnd w:id="287"/>
      <w:bookmarkEnd w:id="288"/>
      <w:bookmarkEnd w:id="289"/>
    </w:p>
    <w:p>
      <w:pPr>
        <w:adjustRightInd w:val="0"/>
        <w:snapToGrid w:val="0"/>
        <w:spacing w:line="440" w:lineRule="exact"/>
        <w:ind w:firstLine="420" w:firstLineChars="200"/>
        <w:rPr>
          <w:rFonts w:ascii="宋体" w:hAnsi="宋体" w:cs="宋体"/>
          <w:szCs w:val="21"/>
        </w:rPr>
      </w:pPr>
      <w:r>
        <w:rPr>
          <w:rFonts w:hint="eastAsia" w:ascii="宋体" w:hAnsi="宋体" w:cs="宋体"/>
          <w:szCs w:val="21"/>
        </w:rPr>
        <w:t>投标人应当按照投标人要求递交投标文件。</w:t>
      </w:r>
    </w:p>
    <w:p>
      <w:pPr>
        <w:pStyle w:val="35"/>
        <w:tabs>
          <w:tab w:val="left" w:pos="588"/>
        </w:tabs>
        <w:snapToGrid w:val="0"/>
        <w:spacing w:before="120" w:after="120" w:line="440" w:lineRule="exact"/>
        <w:jc w:val="left"/>
        <w:rPr>
          <w:rFonts w:ascii="宋体" w:hAnsi="宋体"/>
          <w:sz w:val="24"/>
          <w:szCs w:val="24"/>
        </w:rPr>
      </w:pPr>
      <w:bookmarkStart w:id="297" w:name="_Toc23968"/>
      <w:bookmarkStart w:id="298" w:name="_Toc447265521"/>
      <w:bookmarkStart w:id="299" w:name="_Toc14862"/>
      <w:bookmarkStart w:id="300" w:name="_Toc28163"/>
      <w:bookmarkStart w:id="301" w:name="_Toc450489294"/>
      <w:bookmarkStart w:id="302" w:name="_Toc447265235"/>
      <w:bookmarkStart w:id="303" w:name="_Toc18892"/>
      <w:bookmarkStart w:id="304" w:name="_Toc12017916"/>
      <w:bookmarkStart w:id="305" w:name="_Toc447188685"/>
      <w:r>
        <w:rPr>
          <w:rFonts w:hint="eastAsia" w:ascii="宋体" w:hAnsi="宋体"/>
          <w:sz w:val="24"/>
          <w:szCs w:val="24"/>
        </w:rPr>
        <w:t>3.2投标文件的编制</w:t>
      </w:r>
      <w:bookmarkEnd w:id="297"/>
      <w:bookmarkEnd w:id="298"/>
      <w:bookmarkEnd w:id="299"/>
      <w:bookmarkEnd w:id="300"/>
      <w:bookmarkEnd w:id="301"/>
      <w:bookmarkEnd w:id="302"/>
      <w:bookmarkEnd w:id="303"/>
      <w:bookmarkEnd w:id="304"/>
      <w:bookmarkEnd w:id="305"/>
    </w:p>
    <w:p>
      <w:pPr>
        <w:pStyle w:val="21"/>
        <w:tabs>
          <w:tab w:val="left" w:pos="630"/>
        </w:tabs>
        <w:snapToGrid w:val="0"/>
        <w:spacing w:line="440" w:lineRule="exact"/>
        <w:ind w:firstLine="424" w:firstLineChars="202"/>
        <w:rPr>
          <w:rFonts w:hAnsi="宋体"/>
        </w:rPr>
      </w:pPr>
      <w:r>
        <w:rPr>
          <w:rFonts w:hint="eastAsia" w:hAnsi="宋体"/>
        </w:rPr>
        <w:t>3.2.1投标人应当按照竞争性磋商文件的要求编制投标文件，投标文件应当对竞争性磋商文件提出的实质性要求和条件作出响应。</w:t>
      </w:r>
    </w:p>
    <w:p>
      <w:pPr>
        <w:pStyle w:val="21"/>
        <w:tabs>
          <w:tab w:val="left" w:pos="630"/>
        </w:tabs>
        <w:snapToGrid w:val="0"/>
        <w:spacing w:line="440" w:lineRule="exact"/>
        <w:ind w:firstLine="424" w:firstLineChars="202"/>
        <w:rPr>
          <w:rFonts w:hAnsi="宋体"/>
        </w:rPr>
      </w:pPr>
      <w:r>
        <w:rPr>
          <w:rFonts w:hAnsi="宋体"/>
        </w:rPr>
        <w:t>3.2.2</w:t>
      </w:r>
      <w:r>
        <w:rPr>
          <w:rFonts w:hint="eastAsia" w:hAnsi="宋体"/>
        </w:rPr>
        <w:t>投标人应当认真阅读竞争性磋商文件中所有的事项、格式、条款和技术规范等。投标人没有按照竞争性磋商文件要求递交全部资料或者投标人没有对竞争性磋商文件在各方面都作出实质性响应是投标人的风险，并可能导致其投标被否决。</w:t>
      </w:r>
    </w:p>
    <w:p>
      <w:pPr>
        <w:pStyle w:val="21"/>
        <w:tabs>
          <w:tab w:val="left" w:pos="630"/>
        </w:tabs>
        <w:snapToGrid w:val="0"/>
        <w:spacing w:line="440" w:lineRule="exact"/>
        <w:ind w:firstLine="424" w:firstLineChars="202"/>
        <w:rPr>
          <w:rFonts w:hAnsi="宋体"/>
        </w:rPr>
      </w:pPr>
      <w:r>
        <w:rPr>
          <w:rFonts w:hint="eastAsia" w:hAnsi="宋体"/>
        </w:rPr>
        <w:t>3.2.3投标人递交的投标文件以及投标人与招标人就有关投标的所有往来函电均应当使用中文。投标人递交的证明文件和文献可以使用另一种语言，但相应内容应当译成中文，在解释投标文件时以中文译本为准。</w:t>
      </w:r>
    </w:p>
    <w:p>
      <w:pPr>
        <w:pStyle w:val="21"/>
        <w:tabs>
          <w:tab w:val="left" w:pos="630"/>
        </w:tabs>
        <w:snapToGrid w:val="0"/>
        <w:spacing w:line="440" w:lineRule="exact"/>
        <w:ind w:firstLine="424" w:firstLineChars="202"/>
        <w:rPr>
          <w:rFonts w:hAnsi="宋体"/>
        </w:rPr>
      </w:pPr>
      <w:r>
        <w:rPr>
          <w:rFonts w:hint="eastAsia" w:hAnsi="宋体"/>
        </w:rPr>
        <w:t>3.2.4投标文件应当使用不褪色的材料书写或者打印，并加盖单位公章或者由投标人的法定代表人或者其委托代理人签字。委托代理人签字的，投标文件应当附法定代表人签署的授权委托书。投标文件应当尽量避免涂改、行间插字或者删除。如果出现上述情况，改动之处应当加盖单位公章或者由投标人的法定代表人或者其委托代理人签字确认。</w:t>
      </w:r>
    </w:p>
    <w:p>
      <w:pPr>
        <w:pStyle w:val="35"/>
        <w:tabs>
          <w:tab w:val="left" w:pos="588"/>
        </w:tabs>
        <w:snapToGrid w:val="0"/>
        <w:spacing w:before="120" w:after="120" w:line="440" w:lineRule="exact"/>
        <w:jc w:val="left"/>
        <w:rPr>
          <w:rFonts w:ascii="宋体" w:hAnsi="宋体"/>
          <w:sz w:val="24"/>
          <w:szCs w:val="24"/>
        </w:rPr>
      </w:pPr>
      <w:bookmarkStart w:id="306" w:name="_Toc447265236"/>
      <w:bookmarkStart w:id="307" w:name="_Toc20485"/>
      <w:bookmarkStart w:id="308" w:name="_Toc25897"/>
      <w:bookmarkStart w:id="309" w:name="_Toc107822495"/>
      <w:bookmarkStart w:id="310" w:name="_Toc3872"/>
      <w:bookmarkStart w:id="311" w:name="_Toc447265522"/>
      <w:bookmarkStart w:id="312" w:name="_Toc450489295"/>
      <w:bookmarkStart w:id="313" w:name="_Toc12017917"/>
      <w:bookmarkStart w:id="314" w:name="_Toc29697"/>
      <w:bookmarkStart w:id="315" w:name="_Toc226969292"/>
      <w:bookmarkStart w:id="316" w:name="_Toc227057898"/>
      <w:bookmarkStart w:id="317" w:name="_Toc447188686"/>
      <w:r>
        <w:rPr>
          <w:rFonts w:hint="eastAsia" w:ascii="宋体" w:hAnsi="宋体"/>
          <w:sz w:val="24"/>
          <w:szCs w:val="24"/>
        </w:rPr>
        <w:t>3.3投标报价</w:t>
      </w:r>
      <w:bookmarkEnd w:id="306"/>
      <w:bookmarkEnd w:id="307"/>
      <w:bookmarkEnd w:id="308"/>
      <w:bookmarkEnd w:id="309"/>
      <w:bookmarkEnd w:id="310"/>
      <w:bookmarkEnd w:id="311"/>
      <w:bookmarkEnd w:id="312"/>
      <w:bookmarkEnd w:id="313"/>
      <w:bookmarkEnd w:id="314"/>
      <w:bookmarkEnd w:id="315"/>
      <w:bookmarkEnd w:id="316"/>
      <w:bookmarkEnd w:id="317"/>
    </w:p>
    <w:p>
      <w:pPr>
        <w:pStyle w:val="21"/>
        <w:tabs>
          <w:tab w:val="left" w:pos="630"/>
        </w:tabs>
        <w:snapToGrid w:val="0"/>
        <w:spacing w:line="440" w:lineRule="exact"/>
        <w:ind w:firstLine="424" w:firstLineChars="202"/>
        <w:rPr>
          <w:rFonts w:hAnsi="宋体"/>
        </w:rPr>
      </w:pPr>
      <w:r>
        <w:rPr>
          <w:rFonts w:hint="eastAsia" w:hAnsi="宋体"/>
        </w:rPr>
        <w:t>3.3.1投标人应当根据竞争性磋商文件要求进行报价，投标人应当报出符合竞争性磋商文件要求的拟提供投标货物的单价（如适用）和总价。</w:t>
      </w:r>
    </w:p>
    <w:p>
      <w:pPr>
        <w:pStyle w:val="21"/>
        <w:tabs>
          <w:tab w:val="left" w:pos="630"/>
        </w:tabs>
        <w:snapToGrid w:val="0"/>
        <w:spacing w:line="440" w:lineRule="exact"/>
        <w:ind w:firstLine="424" w:firstLineChars="202"/>
        <w:rPr>
          <w:rFonts w:hAnsi="宋体"/>
        </w:rPr>
      </w:pPr>
      <w:r>
        <w:rPr>
          <w:rFonts w:hAnsi="宋体"/>
        </w:rPr>
        <w:t>3.3.2</w:t>
      </w:r>
      <w:r>
        <w:rPr>
          <w:rFonts w:hint="eastAsia" w:hAnsi="宋体"/>
        </w:rPr>
        <w:t>投标货币：人民币。</w:t>
      </w:r>
    </w:p>
    <w:p>
      <w:pPr>
        <w:pStyle w:val="21"/>
        <w:tabs>
          <w:tab w:val="left" w:pos="630"/>
        </w:tabs>
        <w:snapToGrid w:val="0"/>
        <w:spacing w:line="440" w:lineRule="exact"/>
        <w:ind w:firstLine="424" w:firstLineChars="202"/>
        <w:rPr>
          <w:rFonts w:hAnsi="宋体"/>
        </w:rPr>
      </w:pPr>
      <w:r>
        <w:rPr>
          <w:rFonts w:hint="eastAsia" w:hAnsi="宋体"/>
        </w:rPr>
        <w:t>3.3.3招标人设有最高投标限价的，投标人的投标报价不得超过最高投标限价，否则其投标将被否决。</w:t>
      </w:r>
    </w:p>
    <w:p>
      <w:pPr>
        <w:pStyle w:val="21"/>
        <w:tabs>
          <w:tab w:val="left" w:pos="630"/>
        </w:tabs>
        <w:snapToGrid w:val="0"/>
        <w:spacing w:line="440" w:lineRule="exact"/>
        <w:ind w:firstLine="424" w:firstLineChars="202"/>
        <w:rPr>
          <w:rFonts w:hAnsi="宋体"/>
        </w:rPr>
      </w:pPr>
      <w:r>
        <w:rPr>
          <w:rFonts w:hint="eastAsia" w:hAnsi="宋体"/>
        </w:rPr>
        <w:t>3.3.4招标人不接受投标人的任何低于成本报价的不正当竞争方式。</w:t>
      </w:r>
    </w:p>
    <w:p>
      <w:pPr>
        <w:pStyle w:val="21"/>
        <w:tabs>
          <w:tab w:val="left" w:pos="630"/>
        </w:tabs>
        <w:snapToGrid w:val="0"/>
        <w:spacing w:line="440" w:lineRule="exact"/>
        <w:ind w:firstLine="424" w:firstLineChars="202"/>
        <w:rPr>
          <w:rFonts w:hAnsi="宋体"/>
        </w:rPr>
      </w:pPr>
      <w:r>
        <w:rPr>
          <w:rFonts w:hint="eastAsia" w:hAnsi="宋体"/>
        </w:rPr>
        <w:t>3.3.5只有在竞争性磋商文件要求或者允许报优惠价时，投标人才可以报出。投标人优惠报价的数额，唱价时也必须当众宣读。</w:t>
      </w:r>
    </w:p>
    <w:p>
      <w:pPr>
        <w:pStyle w:val="35"/>
        <w:tabs>
          <w:tab w:val="left" w:pos="588"/>
        </w:tabs>
        <w:snapToGrid w:val="0"/>
        <w:spacing w:before="120" w:after="120" w:line="440" w:lineRule="exact"/>
        <w:jc w:val="left"/>
        <w:rPr>
          <w:rFonts w:ascii="宋体" w:hAnsi="宋体"/>
          <w:sz w:val="24"/>
          <w:szCs w:val="24"/>
        </w:rPr>
      </w:pPr>
      <w:bookmarkStart w:id="318" w:name="_Toc227057904"/>
      <w:bookmarkStart w:id="319" w:name="_Toc107822501"/>
      <w:bookmarkStart w:id="320" w:name="_Toc226969298"/>
      <w:bookmarkStart w:id="321" w:name="_Toc19282"/>
      <w:bookmarkStart w:id="322" w:name="_Toc450489299"/>
      <w:bookmarkStart w:id="323" w:name="_Toc6855"/>
      <w:bookmarkStart w:id="324" w:name="_Toc447265240"/>
      <w:bookmarkStart w:id="325" w:name="_Toc9726"/>
      <w:bookmarkStart w:id="326" w:name="_Toc447265526"/>
      <w:bookmarkStart w:id="327" w:name="_Toc12017918"/>
      <w:bookmarkStart w:id="328" w:name="_Toc447188690"/>
      <w:bookmarkStart w:id="329" w:name="_Toc21521"/>
      <w:r>
        <w:rPr>
          <w:rFonts w:hint="eastAsia" w:ascii="宋体" w:hAnsi="宋体"/>
          <w:sz w:val="24"/>
          <w:szCs w:val="24"/>
        </w:rPr>
        <w:t>3.4投标文件的式样</w:t>
      </w:r>
      <w:bookmarkEnd w:id="318"/>
      <w:bookmarkEnd w:id="319"/>
      <w:bookmarkEnd w:id="320"/>
      <w:r>
        <w:rPr>
          <w:rFonts w:hint="eastAsia" w:ascii="宋体" w:hAnsi="宋体"/>
          <w:sz w:val="24"/>
          <w:szCs w:val="24"/>
        </w:rPr>
        <w:t>、密封和标记</w:t>
      </w:r>
      <w:bookmarkEnd w:id="321"/>
      <w:bookmarkEnd w:id="322"/>
      <w:bookmarkEnd w:id="323"/>
      <w:bookmarkEnd w:id="324"/>
      <w:bookmarkEnd w:id="325"/>
      <w:bookmarkEnd w:id="326"/>
      <w:bookmarkEnd w:id="327"/>
      <w:bookmarkEnd w:id="328"/>
      <w:bookmarkEnd w:id="329"/>
    </w:p>
    <w:p>
      <w:pPr>
        <w:pStyle w:val="21"/>
        <w:tabs>
          <w:tab w:val="left" w:pos="630"/>
        </w:tabs>
        <w:snapToGrid w:val="0"/>
        <w:spacing w:line="440" w:lineRule="exact"/>
        <w:ind w:firstLine="424" w:firstLineChars="202"/>
        <w:rPr>
          <w:rFonts w:hAnsi="宋体"/>
        </w:rPr>
      </w:pPr>
      <w:r>
        <w:rPr>
          <w:rFonts w:hAnsi="宋体"/>
        </w:rPr>
        <w:t>3.</w:t>
      </w:r>
      <w:r>
        <w:rPr>
          <w:rFonts w:hint="eastAsia" w:hAnsi="宋体"/>
        </w:rPr>
        <w:t>4</w:t>
      </w:r>
      <w:r>
        <w:rPr>
          <w:rFonts w:hAnsi="宋体"/>
        </w:rPr>
        <w:t>.1</w:t>
      </w:r>
      <w:r>
        <w:rPr>
          <w:rFonts w:hint="eastAsia" w:hAnsi="宋体"/>
        </w:rPr>
        <w:t>投标人应当编制一份投标文件“正本”一份，“副本”四份。</w:t>
      </w:r>
    </w:p>
    <w:p>
      <w:pPr>
        <w:pStyle w:val="21"/>
        <w:tabs>
          <w:tab w:val="left" w:pos="630"/>
        </w:tabs>
        <w:snapToGrid w:val="0"/>
        <w:spacing w:line="440" w:lineRule="exact"/>
        <w:ind w:firstLine="424" w:firstLineChars="202"/>
        <w:rPr>
          <w:rFonts w:hAnsi="宋体"/>
        </w:rPr>
      </w:pPr>
      <w:r>
        <w:rPr>
          <w:rFonts w:hint="eastAsia" w:hAnsi="宋体"/>
        </w:rPr>
        <w:t>3.4.2每份投标文件的正本、副本应当分别装订，并于封面上明确标明“正本”、“副本”字样。</w:t>
      </w:r>
    </w:p>
    <w:p>
      <w:pPr>
        <w:pStyle w:val="21"/>
        <w:tabs>
          <w:tab w:val="left" w:pos="630"/>
        </w:tabs>
        <w:snapToGrid w:val="0"/>
        <w:spacing w:line="440" w:lineRule="exact"/>
        <w:ind w:firstLine="424" w:firstLineChars="202"/>
        <w:rPr>
          <w:rFonts w:hAnsi="宋体"/>
        </w:rPr>
      </w:pPr>
      <w:r>
        <w:rPr>
          <w:rFonts w:hint="eastAsia" w:hAnsi="宋体"/>
        </w:rPr>
        <w:t>3.4.3投标文件应当按照竞争性磋商文件规定密封包装，并于封装封面上明确标明“正本”、“副本”字样。密封的所有粘接缝隙必须加盖单位公章或者由投标人的法定代表人或者其委托代理人签字。</w:t>
      </w:r>
    </w:p>
    <w:p>
      <w:pPr>
        <w:pStyle w:val="21"/>
        <w:tabs>
          <w:tab w:val="left" w:pos="630"/>
        </w:tabs>
        <w:snapToGrid w:val="0"/>
        <w:spacing w:line="440" w:lineRule="exact"/>
        <w:ind w:firstLine="424" w:firstLineChars="202"/>
        <w:rPr>
          <w:rFonts w:hAnsi="宋体"/>
        </w:rPr>
      </w:pPr>
      <w:r>
        <w:rPr>
          <w:rFonts w:hint="eastAsia" w:hAnsi="宋体"/>
        </w:rPr>
        <w:t>3.4.4外层包封应当写明招标人名称和地址、项目名称、招标编号、并注明唱价时间以前不得开封。还应当写明投标人的名称与地址、邮政编码，以便投标出现逾期送达时能原封退回。</w:t>
      </w:r>
    </w:p>
    <w:p>
      <w:pPr>
        <w:pStyle w:val="21"/>
        <w:tabs>
          <w:tab w:val="left" w:pos="630"/>
        </w:tabs>
        <w:snapToGrid w:val="0"/>
        <w:spacing w:line="440" w:lineRule="exact"/>
        <w:ind w:firstLine="424" w:firstLineChars="202"/>
        <w:rPr>
          <w:rFonts w:hAnsi="宋体"/>
        </w:rPr>
      </w:pPr>
      <w:r>
        <w:rPr>
          <w:rFonts w:hint="eastAsia" w:hAnsi="宋体"/>
        </w:rPr>
        <w:t>3.4.5递交投标文件时，招标人应当对符合竞争性磋商文件规定密封和标记的投标文件进行签收。</w:t>
      </w:r>
    </w:p>
    <w:bookmarkEnd w:id="290"/>
    <w:bookmarkEnd w:id="291"/>
    <w:bookmarkEnd w:id="292"/>
    <w:p>
      <w:pPr>
        <w:pStyle w:val="35"/>
        <w:numPr>
          <w:ilvl w:val="0"/>
          <w:numId w:val="6"/>
        </w:numPr>
        <w:tabs>
          <w:tab w:val="left" w:pos="588"/>
        </w:tabs>
        <w:snapToGrid w:val="0"/>
        <w:spacing w:before="120" w:after="120" w:line="440" w:lineRule="exact"/>
        <w:ind w:left="0" w:firstLine="0"/>
        <w:jc w:val="left"/>
        <w:rPr>
          <w:rFonts w:ascii="宋体" w:hAnsi="宋体"/>
          <w:sz w:val="28"/>
          <w:szCs w:val="28"/>
        </w:rPr>
      </w:pPr>
      <w:bookmarkStart w:id="330" w:name="_Toc477190296"/>
      <w:bookmarkEnd w:id="330"/>
      <w:bookmarkStart w:id="331" w:name="_Toc477190297"/>
      <w:bookmarkEnd w:id="331"/>
      <w:bookmarkStart w:id="332" w:name="_Toc12017919"/>
      <w:r>
        <w:rPr>
          <w:rFonts w:hint="eastAsia" w:ascii="宋体" w:hAnsi="宋体"/>
          <w:sz w:val="28"/>
          <w:szCs w:val="28"/>
        </w:rPr>
        <w:t>投标</w:t>
      </w:r>
      <w:bookmarkEnd w:id="332"/>
    </w:p>
    <w:p>
      <w:pPr>
        <w:pStyle w:val="35"/>
        <w:tabs>
          <w:tab w:val="left" w:pos="588"/>
        </w:tabs>
        <w:snapToGrid w:val="0"/>
        <w:spacing w:before="120" w:after="120" w:line="440" w:lineRule="exact"/>
        <w:jc w:val="left"/>
        <w:rPr>
          <w:rFonts w:ascii="宋体" w:hAnsi="宋体"/>
          <w:sz w:val="24"/>
          <w:szCs w:val="24"/>
        </w:rPr>
      </w:pPr>
      <w:bookmarkStart w:id="333" w:name="_Toc25044"/>
      <w:bookmarkStart w:id="334" w:name="_Toc12017920"/>
      <w:bookmarkStart w:id="335" w:name="_Toc447265243"/>
      <w:bookmarkStart w:id="336" w:name="_Toc30291"/>
      <w:bookmarkStart w:id="337" w:name="_Toc447188692"/>
      <w:bookmarkStart w:id="338" w:name="_Toc12374"/>
      <w:bookmarkStart w:id="339" w:name="_Toc23257"/>
      <w:bookmarkStart w:id="340" w:name="_Toc447265529"/>
      <w:r>
        <w:rPr>
          <w:rFonts w:hint="eastAsia" w:ascii="宋体" w:hAnsi="宋体"/>
          <w:sz w:val="24"/>
          <w:szCs w:val="24"/>
        </w:rPr>
        <w:t>4.1</w:t>
      </w:r>
      <w:bookmarkEnd w:id="293"/>
      <w:bookmarkEnd w:id="294"/>
      <w:r>
        <w:rPr>
          <w:rFonts w:hint="eastAsia" w:ascii="宋体" w:hAnsi="宋体"/>
          <w:sz w:val="24"/>
          <w:szCs w:val="24"/>
        </w:rPr>
        <w:t>投标文件的递交</w:t>
      </w:r>
      <w:bookmarkEnd w:id="295"/>
      <w:bookmarkEnd w:id="296"/>
      <w:bookmarkEnd w:id="333"/>
      <w:bookmarkEnd w:id="334"/>
      <w:bookmarkEnd w:id="335"/>
      <w:bookmarkEnd w:id="336"/>
      <w:bookmarkEnd w:id="337"/>
      <w:bookmarkEnd w:id="338"/>
      <w:bookmarkEnd w:id="339"/>
      <w:bookmarkEnd w:id="340"/>
    </w:p>
    <w:p>
      <w:pPr>
        <w:pStyle w:val="21"/>
        <w:tabs>
          <w:tab w:val="left" w:pos="630"/>
        </w:tabs>
        <w:snapToGrid w:val="0"/>
        <w:spacing w:line="440" w:lineRule="exact"/>
        <w:ind w:firstLine="424" w:firstLineChars="202"/>
        <w:rPr>
          <w:rFonts w:hAnsi="宋体"/>
        </w:rPr>
      </w:pPr>
      <w:bookmarkStart w:id="341" w:name="_Toc107822504"/>
      <w:bookmarkStart w:id="342" w:name="_Toc488655849"/>
      <w:bookmarkStart w:id="343" w:name="_Toc488655850"/>
      <w:bookmarkStart w:id="344" w:name="_Toc227057907"/>
      <w:bookmarkStart w:id="345" w:name="_Toc226969301"/>
      <w:bookmarkStart w:id="346" w:name="_Toc107822505"/>
      <w:bookmarkStart w:id="347" w:name="_Toc447265244"/>
      <w:bookmarkStart w:id="348" w:name="_Toc447265530"/>
      <w:bookmarkStart w:id="349" w:name="_Toc447188693"/>
      <w:r>
        <w:rPr>
          <w:rFonts w:hint="eastAsia" w:hAnsi="宋体"/>
        </w:rPr>
        <w:t>4.1.1投标文件递交截止时间：</w:t>
      </w:r>
      <w:r>
        <w:rPr>
          <w:rFonts w:hAnsi="宋体"/>
        </w:rPr>
        <w:t xml:space="preserve"> </w:t>
      </w:r>
      <w:r>
        <w:rPr>
          <w:rFonts w:hint="eastAsia" w:hAnsi="宋体"/>
          <w:highlight w:val="none"/>
        </w:rPr>
        <w:t xml:space="preserve">2019年 </w:t>
      </w:r>
      <w:r>
        <w:rPr>
          <w:rFonts w:hint="eastAsia" w:hAnsi="宋体"/>
          <w:highlight w:val="none"/>
          <w:lang w:val="en-US" w:eastAsia="zh-CN"/>
        </w:rPr>
        <w:t>7</w:t>
      </w:r>
      <w:r>
        <w:rPr>
          <w:rFonts w:hint="eastAsia" w:hAnsi="宋体"/>
          <w:highlight w:val="none"/>
        </w:rPr>
        <w:t xml:space="preserve"> 月 </w:t>
      </w:r>
      <w:r>
        <w:rPr>
          <w:rFonts w:hint="eastAsia" w:hAnsi="宋体"/>
          <w:highlight w:val="none"/>
          <w:lang w:val="en-US" w:eastAsia="zh-CN"/>
        </w:rPr>
        <w:t>8</w:t>
      </w:r>
      <w:r>
        <w:rPr>
          <w:rFonts w:hint="eastAsia" w:hAnsi="宋体"/>
          <w:highlight w:val="none"/>
        </w:rPr>
        <w:t xml:space="preserve">日    14时30分 </w:t>
      </w:r>
      <w:r>
        <w:rPr>
          <w:rFonts w:hint="eastAsia" w:hAnsi="宋体"/>
        </w:rPr>
        <w:t xml:space="preserve">  </w:t>
      </w:r>
    </w:p>
    <w:p>
      <w:pPr>
        <w:pStyle w:val="21"/>
        <w:tabs>
          <w:tab w:val="left" w:pos="630"/>
        </w:tabs>
        <w:snapToGrid w:val="0"/>
        <w:spacing w:line="440" w:lineRule="exact"/>
        <w:ind w:firstLine="424" w:firstLineChars="202"/>
        <w:rPr>
          <w:rFonts w:hAnsi="宋体"/>
        </w:rPr>
      </w:pPr>
      <w:r>
        <w:rPr>
          <w:rFonts w:hAnsi="宋体"/>
        </w:rPr>
        <w:t>4.1.2</w:t>
      </w:r>
      <w:r>
        <w:rPr>
          <w:rFonts w:hint="eastAsia" w:hAnsi="宋体"/>
        </w:rPr>
        <w:t>投标文件递交地点：南通市崇川区盘香路创源科技园8号楼13层</w:t>
      </w:r>
    </w:p>
    <w:p>
      <w:pPr>
        <w:pStyle w:val="21"/>
        <w:tabs>
          <w:tab w:val="left" w:pos="630"/>
        </w:tabs>
        <w:snapToGrid w:val="0"/>
        <w:spacing w:line="440" w:lineRule="exact"/>
        <w:ind w:firstLine="424" w:firstLineChars="202"/>
        <w:rPr>
          <w:rFonts w:hAnsi="宋体"/>
        </w:rPr>
      </w:pPr>
      <w:r>
        <w:rPr>
          <w:rFonts w:hint="eastAsia" w:hAnsi="宋体"/>
        </w:rPr>
        <w:t>4.1.3招标人收到投标文件后，向投标人出具签收凭证。</w:t>
      </w:r>
    </w:p>
    <w:p>
      <w:pPr>
        <w:pStyle w:val="21"/>
        <w:tabs>
          <w:tab w:val="left" w:pos="630"/>
        </w:tabs>
        <w:snapToGrid w:val="0"/>
        <w:spacing w:line="440" w:lineRule="exact"/>
        <w:ind w:firstLine="424" w:firstLineChars="202"/>
        <w:rPr>
          <w:rFonts w:hAnsi="宋体"/>
        </w:rPr>
      </w:pPr>
      <w:r>
        <w:rPr>
          <w:rFonts w:hint="eastAsia" w:hAnsi="宋体"/>
        </w:rPr>
        <w:t>4.1.4出现以下情形时，招标人不予接收投标文件：</w:t>
      </w:r>
    </w:p>
    <w:p>
      <w:pPr>
        <w:pStyle w:val="47"/>
        <w:numPr>
          <w:ilvl w:val="0"/>
          <w:numId w:val="8"/>
        </w:numPr>
        <w:tabs>
          <w:tab w:val="left" w:pos="993"/>
        </w:tabs>
        <w:spacing w:line="400" w:lineRule="exact"/>
        <w:ind w:left="0" w:firstLine="424" w:firstLineChars="202"/>
        <w:rPr>
          <w:rFonts w:ascii="宋体" w:hAnsi="宋体"/>
        </w:rPr>
      </w:pPr>
      <w:r>
        <w:rPr>
          <w:rFonts w:hint="eastAsia" w:ascii="宋体" w:hAnsi="宋体"/>
        </w:rPr>
        <w:t>逾期送达或者未送达指定地点的；</w:t>
      </w:r>
    </w:p>
    <w:p>
      <w:pPr>
        <w:pStyle w:val="47"/>
        <w:numPr>
          <w:ilvl w:val="0"/>
          <w:numId w:val="8"/>
        </w:numPr>
        <w:tabs>
          <w:tab w:val="left" w:pos="993"/>
        </w:tabs>
        <w:spacing w:line="400" w:lineRule="exact"/>
        <w:ind w:left="0" w:firstLine="424" w:firstLineChars="202"/>
        <w:rPr>
          <w:rFonts w:ascii="宋体" w:hAnsi="宋体"/>
        </w:rPr>
      </w:pPr>
      <w:r>
        <w:rPr>
          <w:rFonts w:hint="eastAsia" w:ascii="宋体" w:hAnsi="宋体"/>
        </w:rPr>
        <w:t>未按照竞争性磋商文件要求密封的；</w:t>
      </w:r>
    </w:p>
    <w:p>
      <w:pPr>
        <w:pStyle w:val="47"/>
        <w:numPr>
          <w:ilvl w:val="0"/>
          <w:numId w:val="8"/>
        </w:numPr>
        <w:tabs>
          <w:tab w:val="left" w:pos="993"/>
        </w:tabs>
        <w:spacing w:line="400" w:lineRule="exact"/>
        <w:ind w:left="0" w:firstLine="424" w:firstLineChars="202"/>
        <w:rPr>
          <w:rFonts w:ascii="宋体" w:hAnsi="宋体"/>
        </w:rPr>
      </w:pPr>
      <w:r>
        <w:rPr>
          <w:rFonts w:hint="eastAsia" w:ascii="宋体" w:hAnsi="宋体"/>
        </w:rPr>
        <w:t>未通过资格预审的申请人递交的；</w:t>
      </w:r>
    </w:p>
    <w:p>
      <w:pPr>
        <w:pStyle w:val="47"/>
        <w:numPr>
          <w:ilvl w:val="0"/>
          <w:numId w:val="8"/>
        </w:numPr>
        <w:tabs>
          <w:tab w:val="left" w:pos="993"/>
        </w:tabs>
        <w:spacing w:line="400" w:lineRule="exact"/>
        <w:ind w:left="0" w:firstLine="424" w:firstLineChars="202"/>
        <w:rPr>
          <w:rFonts w:ascii="宋体" w:hAnsi="宋体"/>
        </w:rPr>
      </w:pPr>
      <w:r>
        <w:rPr>
          <w:rFonts w:hint="eastAsia" w:ascii="宋体" w:hAnsi="宋体"/>
        </w:rPr>
        <w:t>未按照第一章“招标公告”或者“投标邀请书”要求获得本项目竞争性磋商文件的。</w:t>
      </w:r>
    </w:p>
    <w:p>
      <w:pPr>
        <w:pStyle w:val="21"/>
        <w:tabs>
          <w:tab w:val="left" w:pos="630"/>
        </w:tabs>
        <w:snapToGrid w:val="0"/>
        <w:spacing w:line="440" w:lineRule="exact"/>
        <w:ind w:firstLine="424" w:firstLineChars="202"/>
        <w:rPr>
          <w:rFonts w:hAnsi="宋体"/>
        </w:rPr>
      </w:pPr>
      <w:r>
        <w:rPr>
          <w:rFonts w:hint="eastAsia" w:hAnsi="宋体"/>
        </w:rPr>
        <w:t>4.1.6递交投标文件的投标人不足三家的，招标人可对两家投标人继续组织评选，或与一家投标人定向谈判，或重新组织招标。</w:t>
      </w:r>
    </w:p>
    <w:bookmarkEnd w:id="341"/>
    <w:bookmarkEnd w:id="342"/>
    <w:p>
      <w:pPr>
        <w:pStyle w:val="35"/>
        <w:tabs>
          <w:tab w:val="left" w:pos="588"/>
        </w:tabs>
        <w:snapToGrid w:val="0"/>
        <w:spacing w:before="120" w:after="120" w:line="440" w:lineRule="exact"/>
        <w:jc w:val="left"/>
        <w:rPr>
          <w:rFonts w:ascii="宋体" w:hAnsi="宋体"/>
          <w:sz w:val="24"/>
          <w:szCs w:val="24"/>
        </w:rPr>
      </w:pPr>
      <w:bookmarkStart w:id="350" w:name="_Toc12248"/>
      <w:bookmarkStart w:id="351" w:name="_Toc12017921"/>
      <w:bookmarkStart w:id="352" w:name="_Toc595"/>
      <w:bookmarkStart w:id="353" w:name="_Toc25204"/>
      <w:bookmarkStart w:id="354" w:name="_Toc26049"/>
      <w:r>
        <w:rPr>
          <w:rFonts w:ascii="宋体" w:hAnsi="宋体"/>
          <w:sz w:val="24"/>
          <w:szCs w:val="24"/>
        </w:rPr>
        <w:t>4.2</w:t>
      </w:r>
      <w:r>
        <w:rPr>
          <w:rFonts w:hint="eastAsia" w:ascii="宋体" w:hAnsi="宋体"/>
          <w:sz w:val="24"/>
          <w:szCs w:val="24"/>
        </w:rPr>
        <w:t>投标文件的修改、撤回</w:t>
      </w:r>
      <w:bookmarkEnd w:id="343"/>
      <w:bookmarkEnd w:id="344"/>
      <w:bookmarkEnd w:id="345"/>
      <w:bookmarkEnd w:id="346"/>
      <w:r>
        <w:rPr>
          <w:rFonts w:hint="eastAsia" w:ascii="宋体" w:hAnsi="宋体"/>
          <w:sz w:val="24"/>
          <w:szCs w:val="24"/>
        </w:rPr>
        <w:t>和撤销</w:t>
      </w:r>
      <w:bookmarkEnd w:id="347"/>
      <w:bookmarkEnd w:id="348"/>
      <w:bookmarkEnd w:id="349"/>
      <w:bookmarkEnd w:id="350"/>
      <w:bookmarkEnd w:id="351"/>
      <w:bookmarkEnd w:id="352"/>
      <w:bookmarkEnd w:id="353"/>
      <w:bookmarkEnd w:id="354"/>
    </w:p>
    <w:p>
      <w:pPr>
        <w:pStyle w:val="21"/>
        <w:tabs>
          <w:tab w:val="left" w:pos="630"/>
        </w:tabs>
        <w:snapToGrid w:val="0"/>
        <w:spacing w:line="440" w:lineRule="exact"/>
        <w:ind w:firstLine="424" w:firstLineChars="202"/>
        <w:rPr>
          <w:rFonts w:hAnsi="宋体"/>
        </w:rPr>
      </w:pPr>
      <w:bookmarkStart w:id="355" w:name="_Toc144974527"/>
      <w:bookmarkStart w:id="356" w:name="_Toc447265245"/>
      <w:bookmarkStart w:id="357" w:name="_Toc152045559"/>
      <w:bookmarkStart w:id="358" w:name="_Toc152042335"/>
      <w:bookmarkStart w:id="359" w:name="_Toc179632577"/>
      <w:bookmarkStart w:id="360" w:name="_Toc246996203"/>
      <w:bookmarkStart w:id="361" w:name="_Toc447188694"/>
      <w:bookmarkStart w:id="362" w:name="_Toc447265531"/>
      <w:bookmarkStart w:id="363" w:name="_Toc247085717"/>
      <w:bookmarkStart w:id="364" w:name="_Toc296602447"/>
      <w:bookmarkStart w:id="365" w:name="_Toc246996946"/>
      <w:bookmarkStart w:id="366" w:name="_Toc227057908"/>
      <w:bookmarkStart w:id="367" w:name="_Toc107822506"/>
      <w:bookmarkStart w:id="368" w:name="_Toc226969302"/>
      <w:bookmarkStart w:id="369" w:name="_Toc488655852"/>
      <w:r>
        <w:rPr>
          <w:rFonts w:hAnsi="宋体"/>
        </w:rPr>
        <w:t>4.2.1</w:t>
      </w:r>
      <w:r>
        <w:rPr>
          <w:rFonts w:hint="eastAsia" w:hAnsi="宋体"/>
        </w:rPr>
        <w:t>在规定的投标截止时间前，投标人可以修改或者撤回已递交的投标文件。</w:t>
      </w:r>
    </w:p>
    <w:p>
      <w:pPr>
        <w:pStyle w:val="21"/>
        <w:tabs>
          <w:tab w:val="left" w:pos="630"/>
        </w:tabs>
        <w:snapToGrid w:val="0"/>
        <w:spacing w:line="440" w:lineRule="exact"/>
        <w:ind w:firstLine="424" w:firstLineChars="202"/>
        <w:rPr>
          <w:rFonts w:hAnsi="宋体"/>
        </w:rPr>
      </w:pPr>
      <w:r>
        <w:rPr>
          <w:rFonts w:hAnsi="宋体"/>
        </w:rPr>
        <w:t>4.2.2</w:t>
      </w:r>
      <w:r>
        <w:rPr>
          <w:rFonts w:hint="eastAsia" w:hAnsi="宋体"/>
        </w:rPr>
        <w:t>投标人修改后的投标文件，应当在规定的投标截止时间前按照竞争性磋商文件的规定编制、密封、标记、递交。</w:t>
      </w:r>
    </w:p>
    <w:p>
      <w:pPr>
        <w:pStyle w:val="21"/>
        <w:tabs>
          <w:tab w:val="left" w:pos="630"/>
        </w:tabs>
        <w:snapToGrid w:val="0"/>
        <w:spacing w:line="440" w:lineRule="exact"/>
        <w:ind w:firstLine="424" w:firstLineChars="202"/>
        <w:rPr>
          <w:rFonts w:hAnsi="宋体"/>
        </w:rPr>
      </w:pPr>
      <w:r>
        <w:rPr>
          <w:rFonts w:hAnsi="宋体"/>
        </w:rPr>
        <w:t>4.2.3</w:t>
      </w:r>
      <w:r>
        <w:rPr>
          <w:rFonts w:hint="eastAsia" w:hAnsi="宋体"/>
        </w:rPr>
        <w:t>投标人撤回已递交的投标文件，应当书面通知招标人。</w:t>
      </w:r>
    </w:p>
    <w:p>
      <w:pPr>
        <w:pStyle w:val="21"/>
        <w:tabs>
          <w:tab w:val="left" w:pos="630"/>
        </w:tabs>
        <w:snapToGrid w:val="0"/>
        <w:spacing w:line="440" w:lineRule="exact"/>
        <w:ind w:firstLine="424" w:firstLineChars="202"/>
        <w:rPr>
          <w:rFonts w:hAnsi="宋体"/>
        </w:rPr>
      </w:pPr>
      <w:r>
        <w:rPr>
          <w:rFonts w:hint="eastAsia" w:hAnsi="宋体"/>
        </w:rPr>
        <w:t>4.2.4投标人在规定的投标截止时间后，不得在投标有效期内撤销其投标。</w:t>
      </w:r>
    </w:p>
    <w:bookmarkEnd w:id="355"/>
    <w:bookmarkEnd w:id="356"/>
    <w:bookmarkEnd w:id="357"/>
    <w:bookmarkEnd w:id="358"/>
    <w:bookmarkEnd w:id="359"/>
    <w:bookmarkEnd w:id="360"/>
    <w:bookmarkEnd w:id="361"/>
    <w:bookmarkEnd w:id="362"/>
    <w:bookmarkEnd w:id="363"/>
    <w:bookmarkEnd w:id="364"/>
    <w:bookmarkEnd w:id="365"/>
    <w:p>
      <w:pPr>
        <w:pStyle w:val="35"/>
        <w:tabs>
          <w:tab w:val="left" w:pos="588"/>
        </w:tabs>
        <w:snapToGrid w:val="0"/>
        <w:spacing w:before="120" w:after="120" w:line="440" w:lineRule="exact"/>
        <w:jc w:val="left"/>
        <w:rPr>
          <w:rFonts w:ascii="宋体" w:hAnsi="宋体"/>
          <w:sz w:val="24"/>
          <w:szCs w:val="24"/>
        </w:rPr>
      </w:pPr>
      <w:bookmarkStart w:id="370" w:name="_Toc447265247"/>
      <w:bookmarkStart w:id="371" w:name="_Toc27122"/>
      <w:bookmarkStart w:id="372" w:name="_Toc3993"/>
      <w:bookmarkStart w:id="373" w:name="_Toc447188696"/>
      <w:bookmarkStart w:id="374" w:name="_Toc12017922"/>
      <w:bookmarkStart w:id="375" w:name="_Toc447265533"/>
      <w:bookmarkStart w:id="376" w:name="_Toc31533"/>
      <w:bookmarkStart w:id="377" w:name="_Toc18264"/>
      <w:bookmarkStart w:id="378" w:name="_Toc32490"/>
      <w:bookmarkStart w:id="379" w:name="_Toc15908"/>
      <w:bookmarkStart w:id="380" w:name="_Toc15321"/>
      <w:bookmarkStart w:id="381" w:name="_Toc23635"/>
      <w:r>
        <w:rPr>
          <w:rFonts w:hint="eastAsia" w:ascii="宋体" w:hAnsi="宋体"/>
          <w:sz w:val="24"/>
          <w:szCs w:val="24"/>
        </w:rPr>
        <w:t>5.2唱价程序</w:t>
      </w:r>
      <w:bookmarkEnd w:id="370"/>
      <w:bookmarkEnd w:id="371"/>
      <w:bookmarkEnd w:id="372"/>
      <w:bookmarkEnd w:id="373"/>
      <w:bookmarkEnd w:id="374"/>
      <w:bookmarkEnd w:id="375"/>
      <w:bookmarkEnd w:id="376"/>
      <w:bookmarkEnd w:id="377"/>
    </w:p>
    <w:p>
      <w:pPr>
        <w:pStyle w:val="21"/>
        <w:tabs>
          <w:tab w:val="left" w:pos="630"/>
        </w:tabs>
        <w:snapToGrid w:val="0"/>
        <w:spacing w:line="440" w:lineRule="exact"/>
        <w:ind w:firstLine="424" w:firstLineChars="202"/>
        <w:rPr>
          <w:rFonts w:hAnsi="宋体"/>
        </w:rPr>
      </w:pPr>
      <w:r>
        <w:rPr>
          <w:rFonts w:hint="eastAsia" w:hAnsi="宋体"/>
        </w:rPr>
        <w:t>5.2.1唱价会议由招标人组织并主持，邀请所有的投标人或者其代表出席。投标人代表或者招标人委托的公证机构对投标文件密封性进行检查。</w:t>
      </w:r>
    </w:p>
    <w:p>
      <w:pPr>
        <w:pStyle w:val="21"/>
        <w:tabs>
          <w:tab w:val="left" w:pos="630"/>
        </w:tabs>
        <w:snapToGrid w:val="0"/>
        <w:spacing w:line="440" w:lineRule="exact"/>
        <w:ind w:firstLine="424" w:firstLineChars="202"/>
        <w:rPr>
          <w:rFonts w:hAnsi="宋体"/>
        </w:rPr>
      </w:pPr>
      <w:r>
        <w:rPr>
          <w:rFonts w:hint="eastAsia" w:hAnsi="宋体"/>
        </w:rPr>
        <w:t>5.2.2</w:t>
      </w:r>
      <w:r>
        <w:rPr>
          <w:rFonts w:hAnsi="宋体"/>
        </w:rPr>
        <w:t>招标人在投标文件递交截止时间前收到的所有投标文件在唱价时都应当当众予以拆封</w:t>
      </w:r>
      <w:r>
        <w:rPr>
          <w:rFonts w:hint="eastAsia" w:hAnsi="宋体"/>
        </w:rPr>
        <w:t>、</w:t>
      </w:r>
      <w:r>
        <w:rPr>
          <w:rFonts w:hAnsi="宋体"/>
        </w:rPr>
        <w:t>宣读</w:t>
      </w:r>
      <w:r>
        <w:rPr>
          <w:rFonts w:hint="eastAsia" w:hAnsi="宋体"/>
        </w:rPr>
        <w:t>，</w:t>
      </w:r>
      <w:r>
        <w:rPr>
          <w:rFonts w:hAnsi="宋体"/>
        </w:rPr>
        <w:t>但</w:t>
      </w:r>
      <w:r>
        <w:rPr>
          <w:rFonts w:hint="eastAsia" w:hAnsi="宋体"/>
        </w:rPr>
        <w:t>按照竞争性磋商文件规定递交合格的书面撤回通知的投标文件不予开封。</w:t>
      </w:r>
    </w:p>
    <w:p>
      <w:pPr>
        <w:pStyle w:val="21"/>
        <w:tabs>
          <w:tab w:val="left" w:pos="630"/>
        </w:tabs>
        <w:snapToGrid w:val="0"/>
        <w:spacing w:line="440" w:lineRule="exact"/>
        <w:ind w:firstLine="424" w:firstLineChars="202"/>
        <w:rPr>
          <w:rFonts w:hAnsi="宋体"/>
        </w:rPr>
      </w:pPr>
      <w:r>
        <w:rPr>
          <w:rFonts w:hAnsi="宋体"/>
        </w:rPr>
        <w:t>5.2.3</w:t>
      </w:r>
      <w:r>
        <w:rPr>
          <w:rFonts w:hint="eastAsia" w:hAnsi="宋体"/>
        </w:rPr>
        <w:t>唱价时，招标人应当当众宣布参加本项目招标的投标人个数及投标文件的密封情况，并宣读有效投标的“投标一览表”中的内容，“投标一览表”一般包括：投标人名称、投标总报价、交货期以及竞争性磋商文件中规定的其他内容。</w:t>
      </w:r>
    </w:p>
    <w:p>
      <w:pPr>
        <w:pStyle w:val="21"/>
        <w:tabs>
          <w:tab w:val="left" w:pos="630"/>
        </w:tabs>
        <w:snapToGrid w:val="0"/>
        <w:spacing w:line="440" w:lineRule="exact"/>
        <w:ind w:firstLine="424" w:firstLineChars="202"/>
        <w:rPr>
          <w:rFonts w:hAnsi="宋体"/>
        </w:rPr>
      </w:pPr>
      <w:r>
        <w:rPr>
          <w:rFonts w:hint="eastAsia" w:hAnsi="宋体"/>
        </w:rPr>
        <w:t>5.2.4唱价内容填写在“唱价记录表”中，由唱价人、记录人、投标人代表、监督人签字确认，存档备查。</w:t>
      </w:r>
    </w:p>
    <w:p>
      <w:pPr>
        <w:pStyle w:val="35"/>
        <w:numPr>
          <w:ilvl w:val="0"/>
          <w:numId w:val="6"/>
        </w:numPr>
        <w:tabs>
          <w:tab w:val="left" w:pos="588"/>
        </w:tabs>
        <w:snapToGrid w:val="0"/>
        <w:spacing w:before="120" w:after="120" w:line="440" w:lineRule="exact"/>
        <w:ind w:left="0" w:firstLine="0"/>
        <w:jc w:val="left"/>
        <w:rPr>
          <w:rFonts w:ascii="宋体" w:hAnsi="宋体"/>
          <w:sz w:val="28"/>
          <w:szCs w:val="28"/>
        </w:rPr>
      </w:pPr>
      <w:bookmarkStart w:id="382" w:name="_Toc12017923"/>
      <w:r>
        <w:rPr>
          <w:rFonts w:hint="eastAsia" w:ascii="宋体" w:hAnsi="宋体"/>
          <w:sz w:val="28"/>
          <w:szCs w:val="28"/>
        </w:rPr>
        <w:t>唱价</w:t>
      </w:r>
      <w:bookmarkEnd w:id="378"/>
      <w:bookmarkEnd w:id="379"/>
      <w:bookmarkEnd w:id="380"/>
      <w:bookmarkEnd w:id="381"/>
      <w:bookmarkEnd w:id="382"/>
    </w:p>
    <w:p>
      <w:pPr>
        <w:pStyle w:val="35"/>
        <w:tabs>
          <w:tab w:val="left" w:pos="588"/>
        </w:tabs>
        <w:snapToGrid w:val="0"/>
        <w:spacing w:before="120" w:after="120" w:line="440" w:lineRule="exact"/>
        <w:jc w:val="left"/>
        <w:rPr>
          <w:rFonts w:ascii="宋体" w:hAnsi="宋体"/>
          <w:sz w:val="24"/>
          <w:szCs w:val="24"/>
        </w:rPr>
      </w:pPr>
      <w:bookmarkStart w:id="383" w:name="_Toc447265532"/>
      <w:bookmarkStart w:id="384" w:name="_Toc447265246"/>
      <w:bookmarkStart w:id="385" w:name="_Toc12017924"/>
      <w:bookmarkStart w:id="386" w:name="_Toc11015"/>
      <w:bookmarkStart w:id="387" w:name="_Toc2656"/>
      <w:bookmarkStart w:id="388" w:name="_Toc9972"/>
      <w:bookmarkStart w:id="389" w:name="_Toc23457"/>
      <w:bookmarkStart w:id="390" w:name="_Toc447188695"/>
      <w:r>
        <w:rPr>
          <w:rFonts w:hint="eastAsia" w:ascii="宋体" w:hAnsi="宋体"/>
          <w:sz w:val="24"/>
          <w:szCs w:val="24"/>
        </w:rPr>
        <w:t>5.1</w:t>
      </w:r>
      <w:bookmarkEnd w:id="366"/>
      <w:bookmarkEnd w:id="367"/>
      <w:bookmarkEnd w:id="368"/>
      <w:bookmarkEnd w:id="369"/>
      <w:r>
        <w:rPr>
          <w:rFonts w:hint="eastAsia" w:ascii="宋体" w:hAnsi="宋体"/>
          <w:sz w:val="24"/>
          <w:szCs w:val="24"/>
        </w:rPr>
        <w:t>唱价时间和地点</w:t>
      </w:r>
      <w:bookmarkEnd w:id="383"/>
      <w:bookmarkEnd w:id="384"/>
      <w:bookmarkEnd w:id="385"/>
      <w:bookmarkEnd w:id="386"/>
      <w:bookmarkEnd w:id="387"/>
      <w:bookmarkEnd w:id="388"/>
      <w:bookmarkEnd w:id="389"/>
      <w:bookmarkEnd w:id="390"/>
    </w:p>
    <w:p>
      <w:pPr>
        <w:pStyle w:val="21"/>
        <w:tabs>
          <w:tab w:val="left" w:pos="630"/>
        </w:tabs>
        <w:snapToGrid w:val="0"/>
        <w:spacing w:line="440" w:lineRule="exact"/>
        <w:ind w:firstLine="420" w:firstLineChars="200"/>
        <w:rPr>
          <w:rFonts w:hAnsi="宋体"/>
        </w:rPr>
      </w:pPr>
      <w:r>
        <w:rPr>
          <w:rFonts w:hint="eastAsia" w:hAnsi="宋体"/>
        </w:rPr>
        <w:t>招标人将按照规定的时间和地点公开唱价，参加唱价的投标人代表应当签名报到，以证明其出席唱价。唱价时间和投标截止时间应当为同一时间。</w:t>
      </w:r>
    </w:p>
    <w:p>
      <w:pPr>
        <w:pStyle w:val="35"/>
        <w:tabs>
          <w:tab w:val="left" w:pos="588"/>
        </w:tabs>
        <w:snapToGrid w:val="0"/>
        <w:spacing w:before="120" w:after="120" w:line="440" w:lineRule="exact"/>
        <w:jc w:val="left"/>
        <w:rPr>
          <w:rFonts w:ascii="宋体" w:hAnsi="宋体"/>
          <w:sz w:val="24"/>
          <w:szCs w:val="24"/>
        </w:rPr>
      </w:pPr>
      <w:bookmarkStart w:id="391" w:name="_Toc12017925"/>
      <w:bookmarkStart w:id="392" w:name="_Toc450489307"/>
      <w:bookmarkStart w:id="393" w:name="_Toc2695"/>
      <w:bookmarkStart w:id="394" w:name="_Toc26678"/>
      <w:bookmarkStart w:id="395" w:name="_Toc6143"/>
      <w:bookmarkStart w:id="396" w:name="_Toc447188697"/>
      <w:bookmarkStart w:id="397" w:name="_Toc3401"/>
      <w:bookmarkStart w:id="398" w:name="_Toc447265534"/>
      <w:bookmarkStart w:id="399" w:name="_Toc447265248"/>
      <w:bookmarkStart w:id="400" w:name="_Toc296602451"/>
      <w:bookmarkStart w:id="401" w:name="_Toc247085720"/>
      <w:bookmarkStart w:id="402" w:name="_Toc447265536"/>
      <w:bookmarkStart w:id="403" w:name="_Toc447188699"/>
      <w:bookmarkStart w:id="404" w:name="_Toc144974530"/>
      <w:bookmarkStart w:id="405" w:name="_Toc179632580"/>
      <w:bookmarkStart w:id="406" w:name="_Toc152045562"/>
      <w:bookmarkStart w:id="407" w:name="_Toc152042338"/>
      <w:bookmarkStart w:id="408" w:name="_Toc246996949"/>
      <w:bookmarkStart w:id="409" w:name="_Toc447265250"/>
      <w:bookmarkStart w:id="410" w:name="_Toc246996206"/>
      <w:bookmarkStart w:id="411" w:name="_Toc227057909"/>
      <w:bookmarkStart w:id="412" w:name="_Toc226969303"/>
      <w:bookmarkStart w:id="413" w:name="_Toc107822507"/>
      <w:r>
        <w:rPr>
          <w:rFonts w:ascii="宋体" w:hAnsi="宋体"/>
          <w:sz w:val="24"/>
          <w:szCs w:val="24"/>
        </w:rPr>
        <w:t>5.3</w:t>
      </w:r>
      <w:r>
        <w:rPr>
          <w:rFonts w:hint="eastAsia" w:ascii="宋体" w:hAnsi="宋体"/>
          <w:sz w:val="24"/>
          <w:szCs w:val="24"/>
        </w:rPr>
        <w:t>异议</w:t>
      </w:r>
      <w:bookmarkEnd w:id="391"/>
      <w:bookmarkEnd w:id="392"/>
      <w:bookmarkEnd w:id="393"/>
      <w:bookmarkEnd w:id="394"/>
      <w:bookmarkEnd w:id="395"/>
      <w:bookmarkEnd w:id="396"/>
      <w:bookmarkEnd w:id="397"/>
      <w:bookmarkEnd w:id="398"/>
      <w:bookmarkEnd w:id="399"/>
    </w:p>
    <w:p>
      <w:pPr>
        <w:pStyle w:val="21"/>
        <w:tabs>
          <w:tab w:val="left" w:pos="630"/>
        </w:tabs>
        <w:snapToGrid w:val="0"/>
        <w:spacing w:line="440" w:lineRule="exact"/>
        <w:ind w:firstLine="424" w:firstLineChars="202"/>
        <w:rPr>
          <w:rFonts w:hAnsi="宋体"/>
        </w:rPr>
      </w:pPr>
      <w:r>
        <w:rPr>
          <w:rFonts w:hint="eastAsia" w:hAnsi="宋体"/>
        </w:rPr>
        <w:t>5.3.1投标人对唱价有异议的，应当在唱价现场提出，招标人应当当场做出答复，并制作记录。</w:t>
      </w:r>
    </w:p>
    <w:p>
      <w:pPr>
        <w:pStyle w:val="21"/>
        <w:tabs>
          <w:tab w:val="left" w:pos="630"/>
        </w:tabs>
        <w:snapToGrid w:val="0"/>
        <w:spacing w:line="440" w:lineRule="exact"/>
        <w:ind w:firstLine="424" w:firstLineChars="202"/>
        <w:rPr>
          <w:rFonts w:hAnsi="宋体"/>
        </w:rPr>
      </w:pPr>
      <w:r>
        <w:rPr>
          <w:rFonts w:hAnsi="宋体"/>
        </w:rPr>
        <w:t>5.3.2</w:t>
      </w:r>
      <w:r>
        <w:rPr>
          <w:rFonts w:hint="eastAsia" w:hAnsi="宋体"/>
        </w:rPr>
        <w:t>投标人认为存在低于成本价投标情形的，可以在唱价现场提出异议，并在评选完成前向招标人递交书面材料，招标人应当及时将书面材料转交评选委员会。</w:t>
      </w:r>
    </w:p>
    <w:bookmarkEnd w:id="400"/>
    <w:bookmarkEnd w:id="401"/>
    <w:bookmarkEnd w:id="402"/>
    <w:bookmarkEnd w:id="403"/>
    <w:bookmarkEnd w:id="404"/>
    <w:bookmarkEnd w:id="405"/>
    <w:bookmarkEnd w:id="406"/>
    <w:bookmarkEnd w:id="407"/>
    <w:bookmarkEnd w:id="408"/>
    <w:bookmarkEnd w:id="409"/>
    <w:bookmarkEnd w:id="410"/>
    <w:p>
      <w:pPr>
        <w:pStyle w:val="35"/>
        <w:numPr>
          <w:ilvl w:val="0"/>
          <w:numId w:val="6"/>
        </w:numPr>
        <w:tabs>
          <w:tab w:val="left" w:pos="588"/>
        </w:tabs>
        <w:snapToGrid w:val="0"/>
        <w:spacing w:before="120" w:after="120" w:line="440" w:lineRule="exact"/>
        <w:ind w:left="0" w:firstLine="0"/>
        <w:jc w:val="left"/>
        <w:rPr>
          <w:rFonts w:ascii="宋体" w:hAnsi="宋体"/>
          <w:sz w:val="28"/>
          <w:szCs w:val="28"/>
        </w:rPr>
      </w:pPr>
      <w:bookmarkStart w:id="414" w:name="_Toc477190305"/>
      <w:bookmarkEnd w:id="414"/>
      <w:bookmarkStart w:id="415" w:name="_Toc477190306"/>
      <w:bookmarkEnd w:id="415"/>
      <w:bookmarkStart w:id="416" w:name="_Toc25329"/>
      <w:bookmarkStart w:id="417" w:name="_Toc8096"/>
      <w:bookmarkStart w:id="418" w:name="_Toc14209"/>
      <w:bookmarkStart w:id="419" w:name="_Toc12017926"/>
      <w:bookmarkStart w:id="420" w:name="_Toc18879"/>
      <w:r>
        <w:rPr>
          <w:rFonts w:hint="eastAsia" w:ascii="宋体" w:hAnsi="宋体"/>
          <w:sz w:val="28"/>
          <w:szCs w:val="28"/>
        </w:rPr>
        <w:t>评选</w:t>
      </w:r>
      <w:bookmarkEnd w:id="416"/>
      <w:bookmarkEnd w:id="417"/>
      <w:bookmarkEnd w:id="418"/>
      <w:bookmarkEnd w:id="419"/>
      <w:bookmarkEnd w:id="420"/>
    </w:p>
    <w:p>
      <w:pPr>
        <w:pStyle w:val="35"/>
        <w:tabs>
          <w:tab w:val="left" w:pos="588"/>
        </w:tabs>
        <w:snapToGrid w:val="0"/>
        <w:spacing w:before="120" w:after="120" w:line="440" w:lineRule="exact"/>
        <w:jc w:val="left"/>
        <w:rPr>
          <w:rFonts w:ascii="宋体" w:hAnsi="宋体"/>
          <w:sz w:val="24"/>
          <w:szCs w:val="24"/>
        </w:rPr>
      </w:pPr>
      <w:bookmarkStart w:id="421" w:name="_Toc12017927"/>
      <w:bookmarkStart w:id="422" w:name="_Toc447265251"/>
      <w:bookmarkStart w:id="423" w:name="_Toc20526"/>
      <w:bookmarkStart w:id="424" w:name="_Toc447265537"/>
      <w:bookmarkStart w:id="425" w:name="_Toc23096"/>
      <w:bookmarkStart w:id="426" w:name="_Toc32214"/>
      <w:bookmarkStart w:id="427" w:name="_Toc447188700"/>
      <w:bookmarkStart w:id="428" w:name="_Toc28780"/>
      <w:r>
        <w:rPr>
          <w:rFonts w:hint="eastAsia" w:ascii="宋体" w:hAnsi="宋体"/>
          <w:sz w:val="24"/>
          <w:szCs w:val="24"/>
        </w:rPr>
        <w:t>6.1评选委员会</w:t>
      </w:r>
      <w:bookmarkEnd w:id="411"/>
      <w:bookmarkEnd w:id="412"/>
      <w:bookmarkEnd w:id="413"/>
      <w:bookmarkEnd w:id="421"/>
      <w:bookmarkEnd w:id="422"/>
      <w:bookmarkEnd w:id="423"/>
      <w:bookmarkEnd w:id="424"/>
      <w:bookmarkEnd w:id="425"/>
      <w:bookmarkEnd w:id="426"/>
      <w:bookmarkEnd w:id="427"/>
      <w:bookmarkEnd w:id="428"/>
    </w:p>
    <w:p>
      <w:pPr>
        <w:pStyle w:val="21"/>
        <w:tabs>
          <w:tab w:val="left" w:pos="630"/>
        </w:tabs>
        <w:snapToGrid w:val="0"/>
        <w:spacing w:line="440" w:lineRule="exact"/>
        <w:ind w:firstLine="424" w:firstLineChars="202"/>
        <w:rPr>
          <w:rFonts w:hAnsi="宋体"/>
        </w:rPr>
      </w:pPr>
      <w:bookmarkStart w:id="429" w:name="_Toc447265255"/>
      <w:bookmarkStart w:id="430" w:name="_Toc447188703"/>
      <w:bookmarkStart w:id="431" w:name="_Toc447265541"/>
      <w:bookmarkStart w:id="432" w:name="_Toc227057915"/>
      <w:bookmarkStart w:id="433" w:name="_Toc226969309"/>
      <w:bookmarkStart w:id="434" w:name="_Toc488655860"/>
      <w:bookmarkStart w:id="435" w:name="_Toc107822516"/>
      <w:r>
        <w:rPr>
          <w:rFonts w:hint="eastAsia" w:hAnsi="宋体"/>
        </w:rPr>
        <w:t>评选由评选委员会负责，任何单位和个人不得非法干预或者影响评选的过程和结果。评选委员会成员名单在中选结果确定前保密。</w:t>
      </w:r>
    </w:p>
    <w:p>
      <w:pPr>
        <w:pStyle w:val="35"/>
        <w:tabs>
          <w:tab w:val="left" w:pos="588"/>
        </w:tabs>
        <w:snapToGrid w:val="0"/>
        <w:spacing w:before="120" w:after="120" w:line="440" w:lineRule="exact"/>
        <w:jc w:val="left"/>
        <w:rPr>
          <w:rFonts w:ascii="宋体" w:hAnsi="宋体"/>
          <w:sz w:val="24"/>
          <w:szCs w:val="24"/>
        </w:rPr>
      </w:pPr>
      <w:bookmarkStart w:id="436" w:name="_Toc12017928"/>
      <w:bookmarkStart w:id="437" w:name="_Toc447265252"/>
      <w:bookmarkStart w:id="438" w:name="_Toc27472"/>
      <w:bookmarkStart w:id="439" w:name="_Toc247085722"/>
      <w:bookmarkStart w:id="440" w:name="_Toc447265538"/>
      <w:bookmarkStart w:id="441" w:name="_Toc246996951"/>
      <w:bookmarkStart w:id="442" w:name="_Toc152045564"/>
      <w:bookmarkStart w:id="443" w:name="_Toc296602453"/>
      <w:bookmarkStart w:id="444" w:name="_Toc450489311"/>
      <w:bookmarkStart w:id="445" w:name="_Toc152042340"/>
      <w:bookmarkStart w:id="446" w:name="_Toc24007"/>
      <w:bookmarkStart w:id="447" w:name="_Toc17768"/>
      <w:bookmarkStart w:id="448" w:name="_Toc179632582"/>
      <w:bookmarkStart w:id="449" w:name="_Toc246996208"/>
      <w:bookmarkStart w:id="450" w:name="_Toc144974532"/>
      <w:bookmarkStart w:id="451" w:name="_Toc15668"/>
      <w:r>
        <w:rPr>
          <w:rFonts w:ascii="宋体" w:hAnsi="宋体"/>
          <w:sz w:val="24"/>
          <w:szCs w:val="24"/>
        </w:rPr>
        <w:t>6.2</w:t>
      </w:r>
      <w:r>
        <w:rPr>
          <w:rFonts w:hint="eastAsia" w:ascii="宋体" w:hAnsi="宋体"/>
          <w:sz w:val="24"/>
          <w:szCs w:val="24"/>
        </w:rPr>
        <w:t>评选原则</w:t>
      </w:r>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pPr>
        <w:pStyle w:val="21"/>
        <w:tabs>
          <w:tab w:val="left" w:pos="630"/>
        </w:tabs>
        <w:snapToGrid w:val="0"/>
        <w:spacing w:line="440" w:lineRule="exact"/>
        <w:ind w:firstLine="424" w:firstLineChars="202"/>
        <w:rPr>
          <w:rFonts w:hAnsi="宋体"/>
        </w:rPr>
      </w:pPr>
      <w:r>
        <w:rPr>
          <w:rFonts w:hint="eastAsia" w:hAnsi="宋体"/>
        </w:rPr>
        <w:t>6.2.1评选活动遵循公平、公正、科学和择优的原则。</w:t>
      </w:r>
    </w:p>
    <w:p>
      <w:pPr>
        <w:pStyle w:val="21"/>
        <w:tabs>
          <w:tab w:val="left" w:pos="630"/>
        </w:tabs>
        <w:snapToGrid w:val="0"/>
        <w:spacing w:line="440" w:lineRule="exact"/>
        <w:ind w:firstLine="424" w:firstLineChars="202"/>
        <w:rPr>
          <w:rFonts w:hAnsi="宋体"/>
        </w:rPr>
      </w:pPr>
      <w:r>
        <w:rPr>
          <w:rFonts w:hAnsi="宋体"/>
        </w:rPr>
        <w:t>6.2.2</w:t>
      </w:r>
      <w:r>
        <w:rPr>
          <w:rFonts w:hint="eastAsia" w:hAnsi="宋体"/>
        </w:rPr>
        <w:t>评选委员会按照第三章“评选办法”规定的方法、评审因素、标准和程序对投标文件进行评审。第三章“评选办法”没有规定的方法、评审因素和标准，不得作为评选依据。</w:t>
      </w:r>
    </w:p>
    <w:p>
      <w:pPr>
        <w:pStyle w:val="35"/>
        <w:tabs>
          <w:tab w:val="left" w:pos="588"/>
        </w:tabs>
        <w:snapToGrid w:val="0"/>
        <w:spacing w:before="120" w:after="120" w:line="440" w:lineRule="exact"/>
        <w:jc w:val="left"/>
        <w:rPr>
          <w:rFonts w:ascii="宋体" w:hAnsi="宋体"/>
          <w:sz w:val="24"/>
          <w:szCs w:val="24"/>
        </w:rPr>
      </w:pPr>
      <w:bookmarkStart w:id="452" w:name="_Toc19149"/>
      <w:bookmarkStart w:id="453" w:name="_Toc12017929"/>
      <w:bookmarkStart w:id="454" w:name="_Toc5483"/>
      <w:bookmarkStart w:id="455" w:name="_Toc447188701"/>
      <w:bookmarkStart w:id="456" w:name="_Toc447265539"/>
      <w:bookmarkStart w:id="457" w:name="_Toc450489312"/>
      <w:bookmarkStart w:id="458" w:name="_Toc25611"/>
      <w:bookmarkStart w:id="459" w:name="_Toc447265253"/>
      <w:bookmarkStart w:id="460" w:name="_Toc10966"/>
      <w:r>
        <w:rPr>
          <w:rFonts w:hint="eastAsia" w:ascii="宋体" w:hAnsi="宋体"/>
          <w:sz w:val="24"/>
          <w:szCs w:val="24"/>
        </w:rPr>
        <w:t>6.3评选方法</w:t>
      </w:r>
      <w:bookmarkEnd w:id="452"/>
      <w:bookmarkEnd w:id="453"/>
      <w:bookmarkEnd w:id="454"/>
      <w:bookmarkEnd w:id="455"/>
      <w:bookmarkEnd w:id="456"/>
      <w:bookmarkEnd w:id="457"/>
      <w:bookmarkEnd w:id="458"/>
      <w:bookmarkEnd w:id="459"/>
      <w:bookmarkEnd w:id="460"/>
    </w:p>
    <w:p>
      <w:pPr>
        <w:adjustRightInd w:val="0"/>
        <w:snapToGrid w:val="0"/>
        <w:spacing w:line="440" w:lineRule="exact"/>
        <w:ind w:firstLine="424" w:firstLineChars="202"/>
        <w:rPr>
          <w:rFonts w:hAnsi="宋体"/>
        </w:rPr>
      </w:pPr>
      <w:r>
        <w:rPr>
          <w:rFonts w:hint="eastAsia" w:ascii="宋体" w:hAnsi="宋体" w:cs="宋体"/>
          <w:szCs w:val="21"/>
        </w:rPr>
        <w:t>6.3.1本项目评选所采用的评选方法为</w:t>
      </w:r>
      <w:r>
        <w:rPr>
          <w:rFonts w:hint="eastAsia" w:hAnsi="宋体"/>
        </w:rPr>
        <w:t>综合评估法的。最大限度地满足竞争性磋商文件中规定的各项综合评价标准的投标，应当推荐为中选候选人，量化的标准和权重应当在竞争性磋商文件中明确规定。</w:t>
      </w:r>
    </w:p>
    <w:p>
      <w:pPr>
        <w:pStyle w:val="21"/>
        <w:tabs>
          <w:tab w:val="left" w:pos="588"/>
          <w:tab w:val="left" w:pos="630"/>
        </w:tabs>
        <w:snapToGrid w:val="0"/>
        <w:spacing w:before="120" w:after="120" w:line="440" w:lineRule="exact"/>
        <w:ind w:firstLine="424" w:firstLineChars="202"/>
        <w:jc w:val="left"/>
        <w:rPr>
          <w:rFonts w:hAnsi="宋体"/>
          <w:sz w:val="24"/>
          <w:szCs w:val="24"/>
        </w:rPr>
      </w:pPr>
      <w:r>
        <w:rPr>
          <w:rFonts w:hint="eastAsia" w:hAnsi="宋体"/>
        </w:rPr>
        <w:t>6.3.2</w:t>
      </w:r>
      <w:r>
        <w:rPr>
          <w:rFonts w:hAnsi="宋体"/>
        </w:rPr>
        <w:t>法律</w:t>
      </w:r>
      <w:r>
        <w:rPr>
          <w:rFonts w:hint="eastAsia" w:hAnsi="宋体"/>
        </w:rPr>
        <w:t>、</w:t>
      </w:r>
      <w:r>
        <w:rPr>
          <w:rFonts w:hAnsi="宋体"/>
        </w:rPr>
        <w:t>法规允许的其他评选方法</w:t>
      </w:r>
      <w:r>
        <w:rPr>
          <w:rFonts w:hint="eastAsia" w:hAnsi="宋体"/>
        </w:rPr>
        <w:t>。</w:t>
      </w:r>
      <w:bookmarkStart w:id="461" w:name="_Toc447265254"/>
      <w:bookmarkStart w:id="462" w:name="_Toc447188702"/>
      <w:bookmarkStart w:id="463" w:name="_Toc447265540"/>
      <w:bookmarkStart w:id="464" w:name="_Toc152042342"/>
      <w:bookmarkStart w:id="465" w:name="_Toc247085724"/>
      <w:bookmarkStart w:id="466" w:name="_Toc144974534"/>
      <w:bookmarkStart w:id="467" w:name="_Toc179632584"/>
      <w:bookmarkStart w:id="468" w:name="_Toc152045566"/>
      <w:bookmarkStart w:id="469" w:name="_Toc296602455"/>
      <w:bookmarkStart w:id="470" w:name="_Toc246996210"/>
      <w:bookmarkStart w:id="471" w:name="_Toc246996953"/>
    </w:p>
    <w:p>
      <w:pPr>
        <w:pStyle w:val="35"/>
        <w:tabs>
          <w:tab w:val="left" w:pos="588"/>
        </w:tabs>
        <w:snapToGrid w:val="0"/>
        <w:spacing w:before="120" w:after="120" w:line="440" w:lineRule="exact"/>
        <w:jc w:val="left"/>
        <w:rPr>
          <w:rFonts w:ascii="宋体" w:hAnsi="宋体"/>
          <w:sz w:val="24"/>
          <w:szCs w:val="24"/>
        </w:rPr>
      </w:pPr>
      <w:bookmarkStart w:id="472" w:name="_Toc11319"/>
      <w:bookmarkStart w:id="473" w:name="_Toc20516"/>
      <w:bookmarkStart w:id="474" w:name="_Toc30551"/>
      <w:bookmarkStart w:id="475" w:name="_Toc12017930"/>
      <w:bookmarkStart w:id="476" w:name="_Toc450489313"/>
      <w:bookmarkStart w:id="477" w:name="_Toc10212"/>
      <w:r>
        <w:rPr>
          <w:rFonts w:ascii="宋体" w:hAnsi="宋体"/>
          <w:sz w:val="24"/>
          <w:szCs w:val="24"/>
        </w:rPr>
        <w:t>6.4中选候选人推荐原则</w:t>
      </w:r>
      <w:bookmarkEnd w:id="472"/>
      <w:bookmarkEnd w:id="473"/>
      <w:bookmarkEnd w:id="474"/>
      <w:bookmarkEnd w:id="475"/>
      <w:bookmarkEnd w:id="476"/>
      <w:bookmarkEnd w:id="477"/>
    </w:p>
    <w:p>
      <w:pPr>
        <w:ind w:firstLine="420" w:firstLineChars="200"/>
      </w:pPr>
      <w:r>
        <w:rPr>
          <w:rFonts w:hint="eastAsia"/>
        </w:rPr>
        <w:t>评选委员会应当根据竞争性磋商文件载明的规则推荐中选候选人。</w:t>
      </w:r>
    </w:p>
    <w:p>
      <w:pPr>
        <w:pStyle w:val="35"/>
        <w:tabs>
          <w:tab w:val="left" w:pos="588"/>
        </w:tabs>
        <w:snapToGrid w:val="0"/>
        <w:spacing w:before="120" w:after="120" w:line="440" w:lineRule="exact"/>
        <w:jc w:val="left"/>
        <w:rPr>
          <w:rFonts w:ascii="宋体" w:hAnsi="宋体"/>
          <w:sz w:val="24"/>
          <w:szCs w:val="24"/>
        </w:rPr>
      </w:pPr>
      <w:bookmarkStart w:id="478" w:name="_Toc23974"/>
      <w:bookmarkStart w:id="479" w:name="_Toc617"/>
      <w:bookmarkStart w:id="480" w:name="_Toc15785"/>
      <w:bookmarkStart w:id="481" w:name="_Toc12017931"/>
      <w:bookmarkStart w:id="482" w:name="_Toc450489314"/>
      <w:bookmarkStart w:id="483" w:name="_Toc16720"/>
      <w:r>
        <w:rPr>
          <w:rFonts w:hint="eastAsia" w:ascii="宋体" w:hAnsi="宋体"/>
          <w:sz w:val="24"/>
          <w:szCs w:val="24"/>
        </w:rPr>
        <w:t>6.5评选报告</w:t>
      </w:r>
      <w:bookmarkEnd w:id="461"/>
      <w:bookmarkEnd w:id="462"/>
      <w:bookmarkEnd w:id="463"/>
      <w:bookmarkEnd w:id="478"/>
      <w:bookmarkEnd w:id="479"/>
      <w:bookmarkEnd w:id="480"/>
      <w:bookmarkEnd w:id="481"/>
      <w:bookmarkEnd w:id="482"/>
      <w:bookmarkEnd w:id="483"/>
    </w:p>
    <w:p>
      <w:pPr>
        <w:adjustRightInd w:val="0"/>
        <w:snapToGrid w:val="0"/>
        <w:spacing w:line="440" w:lineRule="exact"/>
        <w:ind w:firstLine="420" w:firstLineChars="200"/>
        <w:rPr>
          <w:rFonts w:ascii="宋体" w:hAnsi="宋体" w:cs="宋体"/>
          <w:szCs w:val="21"/>
        </w:rPr>
      </w:pPr>
      <w:r>
        <w:rPr>
          <w:rFonts w:hint="eastAsia" w:ascii="宋体" w:hAnsi="宋体" w:cs="宋体"/>
          <w:szCs w:val="21"/>
        </w:rPr>
        <w:t>评选完成后，评选委员会应当根据《招标管理办法》的有关规定及时向招标人提交评选报告和中选候选人名单。</w:t>
      </w:r>
    </w:p>
    <w:bookmarkEnd w:id="429"/>
    <w:bookmarkEnd w:id="430"/>
    <w:bookmarkEnd w:id="431"/>
    <w:bookmarkEnd w:id="464"/>
    <w:bookmarkEnd w:id="465"/>
    <w:bookmarkEnd w:id="466"/>
    <w:bookmarkEnd w:id="467"/>
    <w:bookmarkEnd w:id="468"/>
    <w:bookmarkEnd w:id="469"/>
    <w:bookmarkEnd w:id="470"/>
    <w:bookmarkEnd w:id="471"/>
    <w:p>
      <w:pPr>
        <w:pStyle w:val="35"/>
        <w:numPr>
          <w:ilvl w:val="0"/>
          <w:numId w:val="6"/>
        </w:numPr>
        <w:tabs>
          <w:tab w:val="left" w:pos="602"/>
        </w:tabs>
        <w:snapToGrid w:val="0"/>
        <w:spacing w:before="120" w:after="120" w:line="440" w:lineRule="exact"/>
        <w:ind w:left="0" w:firstLine="0"/>
        <w:jc w:val="left"/>
        <w:rPr>
          <w:rFonts w:ascii="宋体" w:hAnsi="宋体"/>
          <w:sz w:val="28"/>
          <w:szCs w:val="28"/>
        </w:rPr>
      </w:pPr>
      <w:bookmarkStart w:id="484" w:name="_Toc16569"/>
      <w:bookmarkStart w:id="485" w:name="_Toc12017932"/>
      <w:bookmarkStart w:id="486" w:name="_Toc25717"/>
      <w:bookmarkStart w:id="487" w:name="_Toc31003"/>
      <w:bookmarkStart w:id="488" w:name="_Toc25457"/>
      <w:r>
        <w:rPr>
          <w:rFonts w:hint="eastAsia" w:ascii="宋体" w:hAnsi="宋体"/>
          <w:sz w:val="28"/>
          <w:szCs w:val="28"/>
        </w:rPr>
        <w:t>中选</w:t>
      </w:r>
      <w:bookmarkEnd w:id="484"/>
      <w:bookmarkEnd w:id="485"/>
      <w:bookmarkEnd w:id="486"/>
      <w:bookmarkEnd w:id="487"/>
      <w:bookmarkEnd w:id="488"/>
    </w:p>
    <w:bookmarkEnd w:id="432"/>
    <w:bookmarkEnd w:id="433"/>
    <w:bookmarkEnd w:id="434"/>
    <w:bookmarkEnd w:id="435"/>
    <w:p>
      <w:pPr>
        <w:pStyle w:val="35"/>
        <w:tabs>
          <w:tab w:val="left" w:pos="588"/>
        </w:tabs>
        <w:snapToGrid w:val="0"/>
        <w:spacing w:before="120" w:after="120" w:line="440" w:lineRule="exact"/>
        <w:jc w:val="left"/>
        <w:rPr>
          <w:rFonts w:ascii="宋体" w:hAnsi="宋体"/>
          <w:color w:val="000000" w:themeColor="text1"/>
          <w:sz w:val="24"/>
          <w:szCs w:val="24"/>
          <w14:textFill>
            <w14:solidFill>
              <w14:schemeClr w14:val="tx1"/>
            </w14:solidFill>
          </w14:textFill>
        </w:rPr>
      </w:pPr>
      <w:bookmarkStart w:id="489" w:name="_Toc447265257"/>
      <w:bookmarkStart w:id="490" w:name="_Toc10540"/>
      <w:bookmarkStart w:id="491" w:name="_Toc447265543"/>
      <w:bookmarkStart w:id="492" w:name="_Toc450489317"/>
      <w:bookmarkStart w:id="493" w:name="_Toc8948"/>
      <w:bookmarkStart w:id="494" w:name="_Toc18165"/>
      <w:bookmarkStart w:id="495" w:name="_Toc11897"/>
      <w:bookmarkStart w:id="496" w:name="_Toc447188705"/>
      <w:bookmarkStart w:id="497" w:name="_Toc12017933"/>
      <w:bookmarkStart w:id="498" w:name="_Toc107822517"/>
      <w:bookmarkStart w:id="499" w:name="_Toc447265545"/>
      <w:bookmarkStart w:id="500" w:name="_Toc246996213"/>
      <w:bookmarkStart w:id="501" w:name="_Toc226969310"/>
      <w:bookmarkStart w:id="502" w:name="_Toc152042345"/>
      <w:bookmarkStart w:id="503" w:name="_Toc179632587"/>
      <w:bookmarkStart w:id="504" w:name="_Toc246996956"/>
      <w:bookmarkStart w:id="505" w:name="_Toc247085727"/>
      <w:bookmarkStart w:id="506" w:name="_Toc227057916"/>
      <w:bookmarkStart w:id="507" w:name="_Toc144974537"/>
      <w:bookmarkStart w:id="508" w:name="_Toc152045569"/>
      <w:bookmarkStart w:id="509" w:name="_Toc447265259"/>
      <w:bookmarkStart w:id="510" w:name="_Toc296602459"/>
      <w:r>
        <w:rPr>
          <w:rFonts w:ascii="宋体" w:hAnsi="宋体"/>
          <w:color w:val="000000" w:themeColor="text1"/>
          <w:sz w:val="24"/>
          <w:szCs w:val="24"/>
          <w14:textFill>
            <w14:solidFill>
              <w14:schemeClr w14:val="tx1"/>
            </w14:solidFill>
          </w14:textFill>
        </w:rPr>
        <w:t>7.</w:t>
      </w:r>
      <w:r>
        <w:rPr>
          <w:rFonts w:hint="eastAsia" w:ascii="宋体" w:hAnsi="宋体"/>
          <w:color w:val="000000" w:themeColor="text1"/>
          <w:sz w:val="24"/>
          <w:szCs w:val="24"/>
          <w14:textFill>
            <w14:solidFill>
              <w14:schemeClr w14:val="tx1"/>
            </w14:solidFill>
          </w14:textFill>
        </w:rPr>
        <w:t>1确定中选人</w:t>
      </w:r>
      <w:bookmarkEnd w:id="489"/>
      <w:bookmarkEnd w:id="490"/>
      <w:bookmarkEnd w:id="491"/>
      <w:bookmarkEnd w:id="492"/>
      <w:bookmarkEnd w:id="493"/>
      <w:bookmarkEnd w:id="494"/>
      <w:bookmarkEnd w:id="495"/>
      <w:bookmarkEnd w:id="496"/>
      <w:bookmarkEnd w:id="497"/>
    </w:p>
    <w:p>
      <w:pPr>
        <w:pStyle w:val="21"/>
        <w:tabs>
          <w:tab w:val="left" w:pos="630"/>
        </w:tabs>
        <w:snapToGrid w:val="0"/>
        <w:spacing w:line="440" w:lineRule="exact"/>
        <w:ind w:firstLine="424" w:firstLineChars="202"/>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7.</w:t>
      </w:r>
      <w:r>
        <w:rPr>
          <w:rFonts w:hint="eastAsia" w:hAnsi="宋体"/>
          <w:color w:val="000000" w:themeColor="text1"/>
          <w14:textFill>
            <w14:solidFill>
              <w14:schemeClr w14:val="tx1"/>
            </w14:solidFill>
          </w14:textFill>
        </w:rPr>
        <w:t>1</w:t>
      </w:r>
      <w:r>
        <w:rPr>
          <w:rFonts w:hAnsi="宋体"/>
          <w:color w:val="000000" w:themeColor="text1"/>
          <w14:textFill>
            <w14:solidFill>
              <w14:schemeClr w14:val="tx1"/>
            </w14:solidFill>
          </w14:textFill>
        </w:rPr>
        <w:t>.1</w:t>
      </w:r>
      <w:r>
        <w:rPr>
          <w:rFonts w:hint="eastAsia" w:hAnsi="宋体"/>
          <w:color w:val="000000" w:themeColor="text1"/>
          <w14:textFill>
            <w14:solidFill>
              <w14:schemeClr w14:val="tx1"/>
            </w14:solidFill>
          </w14:textFill>
        </w:rPr>
        <w:t>招标人依据评选委员会推荐的中选候选人确定中选人。</w:t>
      </w:r>
    </w:p>
    <w:p>
      <w:pPr>
        <w:pStyle w:val="21"/>
        <w:tabs>
          <w:tab w:val="left" w:pos="630"/>
        </w:tabs>
        <w:snapToGrid w:val="0"/>
        <w:spacing w:line="440" w:lineRule="exact"/>
        <w:ind w:firstLine="424" w:firstLineChars="202"/>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7.</w:t>
      </w:r>
      <w:r>
        <w:rPr>
          <w:rFonts w:hint="eastAsia" w:hAnsi="宋体"/>
          <w:color w:val="000000" w:themeColor="text1"/>
          <w14:textFill>
            <w14:solidFill>
              <w14:schemeClr w14:val="tx1"/>
            </w14:solidFill>
          </w14:textFill>
        </w:rPr>
        <w:t>1</w:t>
      </w:r>
      <w:r>
        <w:rPr>
          <w:rFonts w:hAnsi="宋体"/>
          <w:color w:val="000000" w:themeColor="text1"/>
          <w14:textFill>
            <w14:solidFill>
              <w14:schemeClr w14:val="tx1"/>
            </w14:solidFill>
          </w14:textFill>
        </w:rPr>
        <w:t>.2</w:t>
      </w:r>
      <w:r>
        <w:rPr>
          <w:rFonts w:hint="eastAsia" w:hAnsi="宋体"/>
          <w:color w:val="000000" w:themeColor="text1"/>
          <w14:textFill>
            <w14:solidFill>
              <w14:schemeClr w14:val="tx1"/>
            </w14:solidFill>
          </w14:textFill>
        </w:rPr>
        <w:t>招标人根据评选委员会推荐的中选候选人名单排序依次确定中选人。</w:t>
      </w:r>
    </w:p>
    <w:p>
      <w:pPr>
        <w:pStyle w:val="21"/>
        <w:tabs>
          <w:tab w:val="left" w:pos="630"/>
        </w:tabs>
        <w:snapToGrid w:val="0"/>
        <w:spacing w:line="440" w:lineRule="exact"/>
        <w:ind w:firstLine="424" w:firstLineChars="202"/>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7.</w:t>
      </w:r>
      <w:r>
        <w:rPr>
          <w:rFonts w:hint="eastAsia" w:hAnsi="宋体"/>
          <w:color w:val="000000" w:themeColor="text1"/>
          <w14:textFill>
            <w14:solidFill>
              <w14:schemeClr w14:val="tx1"/>
            </w14:solidFill>
          </w14:textFill>
        </w:rPr>
        <w:t>1</w:t>
      </w:r>
      <w:r>
        <w:rPr>
          <w:rFonts w:hAnsi="宋体"/>
          <w:color w:val="000000" w:themeColor="text1"/>
          <w14:textFill>
            <w14:solidFill>
              <w14:schemeClr w14:val="tx1"/>
            </w14:solidFill>
          </w14:textFill>
        </w:rPr>
        <w:t>.3在签订合同之前</w:t>
      </w:r>
      <w:r>
        <w:rPr>
          <w:rFonts w:hint="eastAsia" w:hAnsi="宋体"/>
          <w:color w:val="000000" w:themeColor="text1"/>
          <w14:textFill>
            <w14:solidFill>
              <w14:schemeClr w14:val="tx1"/>
            </w14:solidFill>
          </w14:textFill>
        </w:rPr>
        <w:t>，中选人放弃中选或者不能履行合同的，招标人可以按照评选委员会提出的中选候选人名单排序依次确定其他中选候选人为中选人，也可以重新招标。集中招标项目还可以对中选人的中选份额进行调整</w:t>
      </w:r>
      <w:r>
        <w:rPr>
          <w:rFonts w:hint="eastAsia" w:hAnsi="宋体"/>
        </w:rPr>
        <w:t>；</w:t>
      </w:r>
    </w:p>
    <w:p>
      <w:pPr>
        <w:pStyle w:val="21"/>
        <w:tabs>
          <w:tab w:val="left" w:pos="630"/>
        </w:tabs>
        <w:snapToGrid w:val="0"/>
        <w:spacing w:line="440" w:lineRule="exact"/>
        <w:ind w:firstLine="484" w:firstLineChars="202"/>
        <w:rPr>
          <w:rFonts w:hAnsi="宋体"/>
          <w:sz w:val="24"/>
          <w:szCs w:val="24"/>
        </w:rPr>
      </w:pPr>
      <w:bookmarkStart w:id="511" w:name="_Toc246996212"/>
      <w:bookmarkStart w:id="512" w:name="_Toc144974536"/>
      <w:bookmarkStart w:id="513" w:name="_Toc450489318"/>
      <w:bookmarkStart w:id="514" w:name="_Toc179632586"/>
      <w:bookmarkStart w:id="515" w:name="_Toc447265544"/>
      <w:bookmarkStart w:id="516" w:name="_Toc247085726"/>
      <w:bookmarkStart w:id="517" w:name="_Toc447265258"/>
      <w:bookmarkStart w:id="518" w:name="_Toc152045568"/>
      <w:bookmarkStart w:id="519" w:name="_Toc152042344"/>
      <w:bookmarkStart w:id="520" w:name="_Toc246996955"/>
      <w:bookmarkStart w:id="521" w:name="_Toc296602458"/>
      <w:bookmarkStart w:id="522" w:name="OLE_LINK7"/>
      <w:bookmarkStart w:id="523" w:name="OLE_LINK6"/>
      <w:r>
        <w:rPr>
          <w:rFonts w:hint="eastAsia" w:hAnsi="宋体"/>
          <w:sz w:val="24"/>
          <w:szCs w:val="24"/>
        </w:rPr>
        <w:t>7.2中选人公示</w:t>
      </w:r>
    </w:p>
    <w:p>
      <w:pPr>
        <w:pStyle w:val="21"/>
        <w:tabs>
          <w:tab w:val="left" w:pos="630"/>
        </w:tabs>
        <w:snapToGrid w:val="0"/>
        <w:spacing w:line="440" w:lineRule="exact"/>
        <w:ind w:firstLine="424" w:firstLineChars="202"/>
        <w:rPr>
          <w:rFonts w:hAnsi="宋体"/>
        </w:rPr>
      </w:pPr>
      <w:r>
        <w:rPr>
          <w:rFonts w:hAnsi="宋体"/>
        </w:rPr>
        <w:t>7.</w:t>
      </w:r>
      <w:r>
        <w:rPr>
          <w:rFonts w:hint="eastAsia" w:hAnsi="宋体"/>
        </w:rPr>
        <w:t>2</w:t>
      </w:r>
      <w:r>
        <w:rPr>
          <w:rFonts w:hAnsi="宋体"/>
        </w:rPr>
        <w:t>.1</w:t>
      </w:r>
      <w:r>
        <w:rPr>
          <w:rFonts w:hint="eastAsia" w:hAnsi="宋体"/>
        </w:rPr>
        <w:t>采用公开招标方式的，招标人应</w:t>
      </w:r>
      <w:r>
        <w:rPr>
          <w:rFonts w:hAnsi="宋体"/>
        </w:rPr>
        <w:t>在“资格预审公告”或者“</w:t>
      </w:r>
      <w:r>
        <w:rPr>
          <w:rFonts w:hint="eastAsia" w:hAnsi="宋体"/>
        </w:rPr>
        <w:t>招标</w:t>
      </w:r>
      <w:r>
        <w:rPr>
          <w:rFonts w:hAnsi="宋体"/>
        </w:rPr>
        <w:t>公告”发布媒介公示全部</w:t>
      </w:r>
      <w:r>
        <w:rPr>
          <w:rFonts w:hint="eastAsia" w:hAnsi="宋体"/>
        </w:rPr>
        <w:t>中选人，公示期不少于1</w:t>
      </w:r>
      <w:r>
        <w:rPr>
          <w:rFonts w:hAnsi="宋体"/>
        </w:rPr>
        <w:t>日。</w:t>
      </w:r>
    </w:p>
    <w:p>
      <w:pPr>
        <w:pStyle w:val="21"/>
        <w:tabs>
          <w:tab w:val="left" w:pos="630"/>
        </w:tabs>
        <w:snapToGrid w:val="0"/>
        <w:spacing w:line="440" w:lineRule="exact"/>
        <w:ind w:firstLine="424" w:firstLineChars="202"/>
        <w:rPr>
          <w:rFonts w:hAnsi="宋体"/>
        </w:rPr>
      </w:pPr>
      <w:r>
        <w:rPr>
          <w:rFonts w:hAnsi="宋体"/>
        </w:rPr>
        <w:t>7.</w:t>
      </w:r>
      <w:r>
        <w:rPr>
          <w:rFonts w:hint="eastAsia" w:hAnsi="宋体"/>
        </w:rPr>
        <w:t>2</w:t>
      </w:r>
      <w:r>
        <w:rPr>
          <w:rFonts w:hAnsi="宋体"/>
        </w:rPr>
        <w:t>.2</w:t>
      </w:r>
      <w:r>
        <w:rPr>
          <w:rFonts w:hint="eastAsia" w:hAnsi="宋体"/>
        </w:rPr>
        <w:t>投标人或者其他利害关系人对招标项目的评选结果有异议的，应当在中选人公示期间提出。</w:t>
      </w:r>
    </w:p>
    <w:p>
      <w:pPr>
        <w:pStyle w:val="35"/>
        <w:tabs>
          <w:tab w:val="left" w:pos="588"/>
        </w:tabs>
        <w:snapToGrid w:val="0"/>
        <w:spacing w:before="120" w:after="120" w:line="440" w:lineRule="exact"/>
        <w:jc w:val="left"/>
        <w:rPr>
          <w:rFonts w:ascii="宋体" w:hAnsi="宋体"/>
          <w:sz w:val="24"/>
          <w:szCs w:val="24"/>
        </w:rPr>
      </w:pPr>
      <w:bookmarkStart w:id="524" w:name="_Toc32702"/>
      <w:bookmarkStart w:id="525" w:name="_Toc27610"/>
      <w:bookmarkStart w:id="526" w:name="_Toc12017934"/>
      <w:bookmarkStart w:id="527" w:name="_Toc28108"/>
      <w:bookmarkStart w:id="528" w:name="_Toc32115"/>
      <w:r>
        <w:rPr>
          <w:rFonts w:hint="eastAsia" w:ascii="宋体" w:hAnsi="宋体"/>
          <w:sz w:val="24"/>
          <w:szCs w:val="24"/>
        </w:rPr>
        <w:t>7.3中选通知</w:t>
      </w:r>
      <w:bookmarkEnd w:id="511"/>
      <w:bookmarkEnd w:id="512"/>
      <w:bookmarkEnd w:id="513"/>
      <w:bookmarkEnd w:id="514"/>
      <w:bookmarkEnd w:id="515"/>
      <w:bookmarkEnd w:id="516"/>
      <w:bookmarkEnd w:id="517"/>
      <w:bookmarkEnd w:id="518"/>
      <w:bookmarkEnd w:id="519"/>
      <w:bookmarkEnd w:id="520"/>
      <w:bookmarkEnd w:id="521"/>
      <w:bookmarkEnd w:id="524"/>
      <w:bookmarkEnd w:id="525"/>
      <w:bookmarkEnd w:id="526"/>
      <w:bookmarkEnd w:id="527"/>
      <w:bookmarkEnd w:id="528"/>
    </w:p>
    <w:p>
      <w:pPr>
        <w:pStyle w:val="21"/>
        <w:tabs>
          <w:tab w:val="left" w:pos="630"/>
        </w:tabs>
        <w:snapToGrid w:val="0"/>
        <w:spacing w:line="440" w:lineRule="exact"/>
        <w:ind w:firstLine="424" w:firstLineChars="202"/>
        <w:rPr>
          <w:rFonts w:hAnsi="宋体"/>
        </w:rPr>
      </w:pPr>
      <w:r>
        <w:rPr>
          <w:rFonts w:hint="eastAsia" w:hAnsi="宋体"/>
        </w:rPr>
        <w:t>7.3.1在中选通知书发出前，中选候选人的经营、财务状况发生较大变化或者存在违法行为，可能影响其履约能力的，投标人应当主动告知招标人。</w:t>
      </w:r>
      <w:bookmarkEnd w:id="522"/>
      <w:bookmarkEnd w:id="523"/>
    </w:p>
    <w:p>
      <w:pPr>
        <w:pStyle w:val="21"/>
        <w:tabs>
          <w:tab w:val="left" w:pos="630"/>
        </w:tabs>
        <w:snapToGrid w:val="0"/>
        <w:spacing w:line="440" w:lineRule="exact"/>
        <w:ind w:firstLine="424" w:firstLineChars="202"/>
        <w:rPr>
          <w:rFonts w:hAnsi="宋体"/>
        </w:rPr>
      </w:pPr>
      <w:r>
        <w:rPr>
          <w:rFonts w:hint="eastAsia" w:hAnsi="宋体"/>
        </w:rPr>
        <w:t>7.3.2中选人确定后，招标人向中选人发出中选通知书，同时通知未中选人。</w:t>
      </w:r>
    </w:p>
    <w:p>
      <w:pPr>
        <w:pStyle w:val="21"/>
        <w:tabs>
          <w:tab w:val="left" w:pos="630"/>
        </w:tabs>
        <w:snapToGrid w:val="0"/>
        <w:spacing w:line="440" w:lineRule="exact"/>
        <w:ind w:firstLine="424" w:firstLineChars="202"/>
        <w:rPr>
          <w:rFonts w:hAnsi="宋体"/>
        </w:rPr>
      </w:pPr>
      <w:r>
        <w:rPr>
          <w:rFonts w:hAnsi="宋体"/>
        </w:rPr>
        <w:t>7.3.3</w:t>
      </w:r>
      <w:r>
        <w:rPr>
          <w:rFonts w:hint="eastAsia" w:hAnsi="宋体"/>
        </w:rPr>
        <w:t>中选通知书是招标档案和合同的组成部分。</w:t>
      </w:r>
    </w:p>
    <w:p>
      <w:pPr>
        <w:pStyle w:val="21"/>
        <w:tabs>
          <w:tab w:val="left" w:pos="630"/>
        </w:tabs>
        <w:snapToGrid w:val="0"/>
        <w:spacing w:line="440" w:lineRule="exact"/>
        <w:ind w:firstLine="424" w:firstLineChars="202"/>
        <w:rPr>
          <w:rFonts w:hAnsi="宋体"/>
        </w:rPr>
      </w:pPr>
      <w:r>
        <w:rPr>
          <w:rFonts w:hAnsi="宋体"/>
        </w:rPr>
        <w:t>7.3.4</w:t>
      </w:r>
      <w:r>
        <w:rPr>
          <w:rFonts w:hint="eastAsia" w:hAnsi="宋体"/>
        </w:rPr>
        <w:t>中选通知书对招标人和中选人具有法律约束力。中选通知书发出后，招标人改变中选结果或者中选人放弃中选的，应当承担法律责任。</w:t>
      </w:r>
    </w:p>
    <w:bookmarkEnd w:id="498"/>
    <w:bookmarkEnd w:id="499"/>
    <w:bookmarkEnd w:id="500"/>
    <w:bookmarkEnd w:id="501"/>
    <w:bookmarkEnd w:id="502"/>
    <w:bookmarkEnd w:id="503"/>
    <w:bookmarkEnd w:id="504"/>
    <w:bookmarkEnd w:id="505"/>
    <w:bookmarkEnd w:id="506"/>
    <w:bookmarkEnd w:id="507"/>
    <w:bookmarkEnd w:id="508"/>
    <w:bookmarkEnd w:id="509"/>
    <w:bookmarkEnd w:id="510"/>
    <w:p>
      <w:pPr>
        <w:pStyle w:val="35"/>
        <w:numPr>
          <w:ilvl w:val="0"/>
          <w:numId w:val="6"/>
        </w:numPr>
        <w:tabs>
          <w:tab w:val="left" w:pos="602"/>
        </w:tabs>
        <w:snapToGrid w:val="0"/>
        <w:spacing w:before="120" w:after="120" w:line="440" w:lineRule="exact"/>
        <w:ind w:left="0" w:firstLine="0"/>
        <w:jc w:val="left"/>
        <w:rPr>
          <w:rFonts w:ascii="宋体" w:hAnsi="宋体"/>
          <w:sz w:val="28"/>
          <w:szCs w:val="28"/>
        </w:rPr>
      </w:pPr>
      <w:bookmarkStart w:id="529" w:name="_Toc447265264"/>
      <w:bookmarkStart w:id="530" w:name="_Toc9649"/>
      <w:bookmarkStart w:id="531" w:name="_Toc1720"/>
      <w:bookmarkStart w:id="532" w:name="_Toc19744"/>
      <w:bookmarkStart w:id="533" w:name="_Toc12017935"/>
      <w:bookmarkStart w:id="534" w:name="_Toc447265550"/>
      <w:bookmarkStart w:id="535" w:name="_Toc296602461"/>
      <w:bookmarkStart w:id="536" w:name="_Toc22831"/>
      <w:bookmarkStart w:id="537" w:name="_Toc447188708"/>
      <w:r>
        <w:rPr>
          <w:rFonts w:hint="eastAsia" w:ascii="宋体" w:hAnsi="宋体"/>
          <w:sz w:val="28"/>
          <w:szCs w:val="28"/>
        </w:rPr>
        <w:t>纪律和监督</w:t>
      </w:r>
      <w:bookmarkEnd w:id="529"/>
      <w:bookmarkEnd w:id="530"/>
      <w:bookmarkEnd w:id="531"/>
      <w:bookmarkEnd w:id="532"/>
      <w:bookmarkEnd w:id="533"/>
      <w:bookmarkEnd w:id="534"/>
      <w:bookmarkEnd w:id="535"/>
      <w:bookmarkEnd w:id="536"/>
      <w:bookmarkEnd w:id="537"/>
    </w:p>
    <w:p>
      <w:pPr>
        <w:pStyle w:val="35"/>
        <w:tabs>
          <w:tab w:val="left" w:pos="588"/>
        </w:tabs>
        <w:snapToGrid w:val="0"/>
        <w:spacing w:before="120" w:after="120" w:line="440" w:lineRule="exact"/>
        <w:jc w:val="left"/>
        <w:rPr>
          <w:rFonts w:ascii="宋体" w:hAnsi="宋体"/>
          <w:sz w:val="24"/>
          <w:szCs w:val="24"/>
        </w:rPr>
      </w:pPr>
      <w:bookmarkStart w:id="538" w:name="_Toc296602462"/>
      <w:bookmarkStart w:id="539" w:name="_Toc201"/>
      <w:bookmarkStart w:id="540" w:name="_Toc152045575"/>
      <w:bookmarkStart w:id="541" w:name="_Toc144974543"/>
      <w:bookmarkStart w:id="542" w:name="_Toc21890"/>
      <w:bookmarkStart w:id="543" w:name="_Toc447265551"/>
      <w:bookmarkStart w:id="544" w:name="_Toc246996962"/>
      <w:bookmarkStart w:id="545" w:name="_Toc16929"/>
      <w:bookmarkStart w:id="546" w:name="_Toc12017936"/>
      <w:bookmarkStart w:id="547" w:name="_Toc247085733"/>
      <w:bookmarkStart w:id="548" w:name="_Toc246996219"/>
      <w:bookmarkStart w:id="549" w:name="_Toc447265265"/>
      <w:bookmarkStart w:id="550" w:name="_Toc296590983"/>
      <w:bookmarkStart w:id="551" w:name="_Toc179632593"/>
      <w:bookmarkStart w:id="552" w:name="_Toc152042351"/>
      <w:bookmarkStart w:id="553" w:name="_Toc28359"/>
      <w:r>
        <w:rPr>
          <w:rFonts w:hint="eastAsia" w:ascii="宋体" w:hAnsi="宋体"/>
          <w:sz w:val="24"/>
          <w:szCs w:val="24"/>
        </w:rPr>
        <w:t>8.1对招标人的纪律要求</w:t>
      </w:r>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p>
    <w:p>
      <w:pPr>
        <w:adjustRightInd w:val="0"/>
        <w:snapToGrid w:val="0"/>
        <w:spacing w:line="440" w:lineRule="exact"/>
        <w:ind w:firstLine="420" w:firstLineChars="200"/>
        <w:rPr>
          <w:rFonts w:ascii="宋体" w:hAnsi="宋体" w:cs="宋体"/>
          <w:szCs w:val="21"/>
        </w:rPr>
      </w:pPr>
      <w:r>
        <w:rPr>
          <w:rFonts w:hint="eastAsia" w:ascii="宋体" w:hAnsi="宋体" w:cs="宋体"/>
          <w:szCs w:val="21"/>
        </w:rPr>
        <w:t>招标人不得泄漏招标活动中应当保密的情况和资料，不得与投标人串通损害国家利益、社会公共利益或者他人合法权益。</w:t>
      </w:r>
    </w:p>
    <w:p>
      <w:pPr>
        <w:pStyle w:val="35"/>
        <w:tabs>
          <w:tab w:val="left" w:pos="588"/>
        </w:tabs>
        <w:snapToGrid w:val="0"/>
        <w:spacing w:before="120" w:after="120" w:line="440" w:lineRule="exact"/>
        <w:jc w:val="left"/>
        <w:rPr>
          <w:rFonts w:ascii="宋体" w:hAnsi="宋体"/>
          <w:sz w:val="24"/>
          <w:szCs w:val="24"/>
        </w:rPr>
      </w:pPr>
      <w:bookmarkStart w:id="554" w:name="_Toc1507"/>
      <w:bookmarkStart w:id="555" w:name="_Toc5716"/>
      <w:bookmarkStart w:id="556" w:name="_Toc179632594"/>
      <w:bookmarkStart w:id="557" w:name="_Toc12017937"/>
      <w:bookmarkStart w:id="558" w:name="_Toc247085734"/>
      <w:bookmarkStart w:id="559" w:name="_Toc447265266"/>
      <w:bookmarkStart w:id="560" w:name="_Toc296602463"/>
      <w:bookmarkStart w:id="561" w:name="_Toc144974544"/>
      <w:bookmarkStart w:id="562" w:name="_Toc152042352"/>
      <w:bookmarkStart w:id="563" w:name="_Toc246996220"/>
      <w:bookmarkStart w:id="564" w:name="_Toc152045576"/>
      <w:bookmarkStart w:id="565" w:name="_Toc246996963"/>
      <w:bookmarkStart w:id="566" w:name="_Toc5547"/>
      <w:bookmarkStart w:id="567" w:name="_Toc18848"/>
      <w:bookmarkStart w:id="568" w:name="_Toc447265552"/>
      <w:r>
        <w:rPr>
          <w:rFonts w:hint="eastAsia" w:ascii="宋体" w:hAnsi="宋体"/>
          <w:sz w:val="24"/>
          <w:szCs w:val="24"/>
        </w:rPr>
        <w:t>8.2对投标人的纪律要求</w:t>
      </w:r>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p>
    <w:p>
      <w:pPr>
        <w:adjustRightInd w:val="0"/>
        <w:snapToGrid w:val="0"/>
        <w:spacing w:line="440" w:lineRule="exact"/>
        <w:ind w:firstLine="420" w:firstLineChars="200"/>
        <w:rPr>
          <w:rFonts w:ascii="宋体" w:hAnsi="宋体" w:cs="宋体"/>
          <w:szCs w:val="21"/>
        </w:rPr>
      </w:pPr>
      <w:r>
        <w:rPr>
          <w:rFonts w:hint="eastAsia" w:ascii="宋体" w:hAnsi="宋体" w:cs="宋体"/>
          <w:szCs w:val="21"/>
        </w:rPr>
        <w:t>投标人不得相互串通投标或者与招标人串通投标，不得向招标人或者评选委员会成员行贿谋取中选，不得以他人名义投标或者以其他方式弄虚作假骗取中选，投标人不得以任何方式干扰、影响评选工作。</w:t>
      </w:r>
    </w:p>
    <w:p>
      <w:pPr>
        <w:pStyle w:val="35"/>
        <w:tabs>
          <w:tab w:val="left" w:pos="588"/>
        </w:tabs>
        <w:snapToGrid w:val="0"/>
        <w:spacing w:before="120" w:after="120" w:line="440" w:lineRule="exact"/>
        <w:jc w:val="left"/>
        <w:rPr>
          <w:rFonts w:ascii="宋体" w:hAnsi="宋体"/>
          <w:sz w:val="24"/>
          <w:szCs w:val="24"/>
        </w:rPr>
      </w:pPr>
      <w:bookmarkStart w:id="569" w:name="_Toc152045577"/>
      <w:bookmarkStart w:id="570" w:name="_Toc152042353"/>
      <w:bookmarkStart w:id="571" w:name="_Toc12463"/>
      <w:bookmarkStart w:id="572" w:name="_Toc144974545"/>
      <w:bookmarkStart w:id="573" w:name="_Toc13269"/>
      <w:bookmarkStart w:id="574" w:name="_Toc247085735"/>
      <w:bookmarkStart w:id="575" w:name="_Toc296602464"/>
      <w:bookmarkStart w:id="576" w:name="_Toc246996964"/>
      <w:bookmarkStart w:id="577" w:name="_Toc179632595"/>
      <w:bookmarkStart w:id="578" w:name="_Toc12017938"/>
      <w:bookmarkStart w:id="579" w:name="_Toc447265553"/>
      <w:bookmarkStart w:id="580" w:name="_Toc246996221"/>
      <w:bookmarkStart w:id="581" w:name="_Toc447265267"/>
      <w:bookmarkStart w:id="582" w:name="_Toc6324"/>
      <w:bookmarkStart w:id="583" w:name="_Toc2213"/>
      <w:r>
        <w:rPr>
          <w:rFonts w:hint="eastAsia" w:ascii="宋体" w:hAnsi="宋体"/>
          <w:sz w:val="24"/>
          <w:szCs w:val="24"/>
        </w:rPr>
        <w:t>8.3对评选委员会成员的纪律要求</w:t>
      </w:r>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p>
    <w:p>
      <w:pPr>
        <w:adjustRightInd w:val="0"/>
        <w:snapToGrid w:val="0"/>
        <w:spacing w:line="440" w:lineRule="exact"/>
        <w:ind w:firstLine="420" w:firstLineChars="200"/>
        <w:rPr>
          <w:rFonts w:ascii="宋体" w:hAnsi="宋体" w:cs="宋体"/>
          <w:szCs w:val="21"/>
        </w:rPr>
      </w:pPr>
      <w:r>
        <w:rPr>
          <w:rFonts w:hint="eastAsia" w:ascii="宋体" w:hAnsi="宋体" w:cs="宋体"/>
          <w:szCs w:val="21"/>
        </w:rPr>
        <w:t>评选委员会成员不得收受他人的财物或者其他好处，不得向他人透漏对投标文件的评审和比较、中选候选人的推荐情况以及评选有关的其他情况。在评选活动中，评选委员会成员应当客观、公正地履行职责，遵守职业道德，不得擅离职守，影响评选程序正常进行，不得使用第三章“评选办法”没有规定的评审因素和标准进行评选。</w:t>
      </w:r>
    </w:p>
    <w:p>
      <w:pPr>
        <w:pStyle w:val="35"/>
        <w:tabs>
          <w:tab w:val="left" w:pos="588"/>
        </w:tabs>
        <w:snapToGrid w:val="0"/>
        <w:spacing w:before="120" w:after="120" w:line="440" w:lineRule="exact"/>
        <w:jc w:val="left"/>
        <w:rPr>
          <w:rFonts w:ascii="宋体" w:hAnsi="宋体"/>
          <w:sz w:val="24"/>
          <w:szCs w:val="24"/>
        </w:rPr>
      </w:pPr>
      <w:bookmarkStart w:id="584" w:name="_Toc2701"/>
      <w:bookmarkStart w:id="585" w:name="_Toc12017939"/>
      <w:bookmarkStart w:id="586" w:name="_Toc447265268"/>
      <w:bookmarkStart w:id="587" w:name="_Toc246996965"/>
      <w:bookmarkStart w:id="588" w:name="_Toc447265554"/>
      <w:bookmarkStart w:id="589" w:name="_Toc4246"/>
      <w:bookmarkStart w:id="590" w:name="_Toc152042354"/>
      <w:bookmarkStart w:id="591" w:name="_Toc10686"/>
      <w:bookmarkStart w:id="592" w:name="_Toc296602465"/>
      <w:bookmarkStart w:id="593" w:name="_Toc179632596"/>
      <w:bookmarkStart w:id="594" w:name="_Toc5775"/>
      <w:bookmarkStart w:id="595" w:name="_Toc247085736"/>
      <w:bookmarkStart w:id="596" w:name="_Toc152045578"/>
      <w:bookmarkStart w:id="597" w:name="_Toc246996222"/>
      <w:bookmarkStart w:id="598" w:name="_Toc144974546"/>
      <w:r>
        <w:rPr>
          <w:rFonts w:hint="eastAsia" w:ascii="宋体" w:hAnsi="宋体"/>
          <w:sz w:val="24"/>
          <w:szCs w:val="24"/>
        </w:rPr>
        <w:t>8.4对与评选活动有关的工作人员的纪律要求</w:t>
      </w:r>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p>
    <w:p>
      <w:pPr>
        <w:adjustRightInd w:val="0"/>
        <w:snapToGrid w:val="0"/>
        <w:spacing w:line="440" w:lineRule="exact"/>
        <w:ind w:firstLine="420" w:firstLineChars="200"/>
        <w:rPr>
          <w:rFonts w:ascii="宋体" w:hAnsi="宋体" w:cs="宋体"/>
          <w:szCs w:val="21"/>
        </w:rPr>
      </w:pPr>
      <w:bookmarkStart w:id="599" w:name="_Toc152042355"/>
      <w:r>
        <w:rPr>
          <w:rFonts w:hint="eastAsia" w:ascii="宋体" w:hAnsi="宋体" w:cs="宋体"/>
          <w:szCs w:val="21"/>
        </w:rPr>
        <w:t>与评选活动有关的工作人员不得收受他人的财物或者其他好处，不得向他人透漏对投标文件的评审和比较、中选候选人的推荐情况以及评选有关的其他情况。在评选活动中，与评选活动有关的工作人员不得擅离职守，影响评选程序正常进行。</w:t>
      </w:r>
      <w:bookmarkEnd w:id="599"/>
    </w:p>
    <w:bookmarkEnd w:id="598"/>
    <w:p>
      <w:pPr>
        <w:pStyle w:val="35"/>
        <w:numPr>
          <w:ilvl w:val="0"/>
          <w:numId w:val="6"/>
        </w:numPr>
        <w:jc w:val="left"/>
        <w:rPr>
          <w:rStyle w:val="52"/>
        </w:rPr>
      </w:pPr>
      <w:bookmarkStart w:id="600" w:name="_Toc477190327"/>
      <w:bookmarkEnd w:id="600"/>
      <w:bookmarkStart w:id="601" w:name="_Toc477190328"/>
      <w:bookmarkEnd w:id="601"/>
      <w:bookmarkStart w:id="602" w:name="_Toc477190326"/>
      <w:bookmarkEnd w:id="602"/>
      <w:bookmarkStart w:id="603" w:name="_Toc12017941"/>
      <w:r>
        <w:rPr>
          <w:rStyle w:val="52"/>
          <w:rFonts w:hint="eastAsia"/>
        </w:rPr>
        <w:t>特别说明</w:t>
      </w:r>
      <w:bookmarkEnd w:id="603"/>
    </w:p>
    <w:p>
      <w:pPr>
        <w:snapToGrid w:val="0"/>
        <w:spacing w:line="300" w:lineRule="auto"/>
        <w:ind w:firstLine="422" w:firstLineChars="150"/>
        <w:outlineLvl w:val="0"/>
        <w:rPr>
          <w:rFonts w:ascii="仿宋_GB2312" w:hAnsi="宋体" w:eastAsia="仿宋_GB2312"/>
          <w:b/>
          <w:sz w:val="28"/>
          <w:szCs w:val="28"/>
        </w:rPr>
      </w:pPr>
      <w:bookmarkStart w:id="604" w:name="_Toc12017942"/>
      <w:r>
        <w:rPr>
          <w:rFonts w:hint="eastAsia" w:ascii="仿宋_GB2312" w:hAnsi="仿宋_GB2312" w:eastAsia="仿宋_GB2312" w:cs="仿宋_GB2312"/>
          <w:b/>
          <w:sz w:val="28"/>
          <w:szCs w:val="28"/>
        </w:rPr>
        <w:t>9.1技术培训</w:t>
      </w:r>
      <w:bookmarkEnd w:id="604"/>
    </w:p>
    <w:p>
      <w:pPr>
        <w:adjustRightInd w:val="0"/>
        <w:snapToGrid w:val="0"/>
        <w:spacing w:line="440" w:lineRule="exact"/>
        <w:ind w:firstLine="420" w:firstLineChars="200"/>
        <w:rPr>
          <w:rFonts w:ascii="宋体" w:hAnsi="宋体" w:cs="宋体"/>
          <w:szCs w:val="21"/>
          <w:lang w:val="zh-CN"/>
        </w:rPr>
      </w:pPr>
      <w:r>
        <w:rPr>
          <w:rFonts w:hint="eastAsia" w:ascii="宋体" w:hAnsi="宋体" w:cs="宋体"/>
          <w:szCs w:val="21"/>
          <w:lang w:val="zh-CN"/>
        </w:rPr>
        <w:t>1、投标人应对采购单位的技术人员和系统操作维护人员进行现场培训，并提出详细培训计划，此费用包含在投标报价中，采购单位不另行支付。</w:t>
      </w:r>
    </w:p>
    <w:p>
      <w:pPr>
        <w:adjustRightInd w:val="0"/>
        <w:snapToGrid w:val="0"/>
        <w:spacing w:line="440" w:lineRule="exact"/>
        <w:ind w:firstLine="420" w:firstLineChars="200"/>
        <w:rPr>
          <w:rFonts w:ascii="宋体" w:hAnsi="宋体" w:cs="宋体"/>
          <w:szCs w:val="21"/>
          <w:lang w:val="zh-CN"/>
        </w:rPr>
      </w:pPr>
      <w:r>
        <w:rPr>
          <w:rFonts w:hint="eastAsia" w:ascii="宋体" w:hAnsi="宋体" w:cs="宋体"/>
          <w:szCs w:val="21"/>
          <w:lang w:val="zh-CN"/>
        </w:rPr>
        <w:t>2、现场培训：投标人应在设备安装完毕后进行现场培训。投标人应安排工程师进行指导和演示，并对技术人员进行实际操作培训。</w:t>
      </w:r>
    </w:p>
    <w:p>
      <w:pPr>
        <w:snapToGrid w:val="0"/>
        <w:spacing w:line="400" w:lineRule="atLeast"/>
        <w:ind w:firstLine="562" w:firstLineChars="200"/>
        <w:contextualSpacing/>
        <w:outlineLvl w:val="0"/>
        <w:rPr>
          <w:rFonts w:ascii="仿宋_GB2312" w:hAnsi="仿宋_GB2312" w:eastAsia="仿宋_GB2312" w:cs="仿宋_GB2312"/>
          <w:b/>
          <w:sz w:val="28"/>
          <w:szCs w:val="28"/>
        </w:rPr>
      </w:pPr>
      <w:bookmarkStart w:id="605" w:name="_Toc12017943"/>
      <w:r>
        <w:rPr>
          <w:rFonts w:hint="eastAsia" w:ascii="仿宋_GB2312" w:hAnsi="仿宋_GB2312" w:eastAsia="仿宋_GB2312" w:cs="仿宋_GB2312"/>
          <w:b/>
          <w:sz w:val="28"/>
          <w:szCs w:val="28"/>
        </w:rPr>
        <w:t>9.2售后服务</w:t>
      </w:r>
      <w:bookmarkEnd w:id="605"/>
    </w:p>
    <w:p>
      <w:pPr>
        <w:adjustRightInd w:val="0"/>
        <w:snapToGrid w:val="0"/>
        <w:spacing w:line="440" w:lineRule="exact"/>
        <w:ind w:firstLine="420" w:firstLineChars="200"/>
        <w:rPr>
          <w:rFonts w:ascii="宋体" w:hAnsi="宋体" w:cs="宋体"/>
          <w:szCs w:val="21"/>
          <w:lang w:val="zh-CN"/>
        </w:rPr>
      </w:pPr>
      <w:r>
        <w:rPr>
          <w:rFonts w:hint="eastAsia" w:ascii="宋体" w:hAnsi="宋体" w:cs="宋体"/>
          <w:szCs w:val="21"/>
          <w:lang w:val="zh-CN"/>
        </w:rPr>
        <w:t>自项目验收合格之日起计五年。产品故障提供30分钟响应，1小时内到达现场维修,如需更换不常用配件必须24小时内到场维修。在质量保证期内，除不可抗力和采购单位人为的原因外，供应商应无偿承担故障维修，更换零配件的义务，确系质量原因无法正常工作时，供应商应无偿更换全新合格产品。质量保证期后，如采购单位委托供应商承担系统的维保业务，供应商必须对所提供的设备及系统定期进行检查和保养，并负责维护，对于损坏的零部件，供应商应保证以不高于在设备生产地购买的一般价格提供给采购单位。</w:t>
      </w:r>
    </w:p>
    <w:p>
      <w:pPr>
        <w:snapToGrid w:val="0"/>
        <w:spacing w:line="400" w:lineRule="atLeast"/>
        <w:ind w:firstLine="562" w:firstLineChars="200"/>
        <w:contextualSpacing/>
        <w:outlineLvl w:val="0"/>
        <w:rPr>
          <w:rFonts w:ascii="仿宋_GB2312" w:hAnsi="仿宋_GB2312" w:eastAsia="仿宋_GB2312" w:cs="仿宋_GB2312"/>
          <w:b/>
          <w:sz w:val="28"/>
          <w:szCs w:val="28"/>
        </w:rPr>
      </w:pPr>
      <w:bookmarkStart w:id="606" w:name="_Toc12017944"/>
      <w:r>
        <w:rPr>
          <w:rFonts w:hint="eastAsia" w:ascii="仿宋_GB2312" w:hAnsi="仿宋_GB2312" w:eastAsia="仿宋_GB2312" w:cs="仿宋_GB2312"/>
          <w:b/>
          <w:sz w:val="28"/>
          <w:szCs w:val="28"/>
        </w:rPr>
        <w:t>9.3工期</w:t>
      </w:r>
      <w:bookmarkEnd w:id="606"/>
    </w:p>
    <w:p>
      <w:pPr>
        <w:snapToGrid w:val="0"/>
        <w:spacing w:line="400" w:lineRule="atLeast"/>
        <w:ind w:firstLine="420" w:firstLineChars="200"/>
        <w:contextualSpacing/>
        <w:rPr>
          <w:rFonts w:ascii="仿宋_GB2312" w:hAnsi="仿宋_GB2312" w:eastAsia="仿宋_GB2312" w:cs="仿宋_GB2312"/>
          <w:bCs/>
          <w:sz w:val="28"/>
          <w:szCs w:val="28"/>
        </w:rPr>
      </w:pPr>
      <w:r>
        <w:rPr>
          <w:rFonts w:hint="eastAsia" w:ascii="宋体" w:hAnsi="宋体" w:cs="宋体"/>
          <w:szCs w:val="21"/>
          <w:lang w:val="zh-CN"/>
        </w:rPr>
        <w:t>合同签订后供应商</w:t>
      </w:r>
      <w:r>
        <w:rPr>
          <w:rFonts w:hint="eastAsia" w:ascii="宋体" w:hAnsi="宋体" w:cs="宋体"/>
          <w:szCs w:val="21"/>
        </w:rPr>
        <w:t>3</w:t>
      </w:r>
      <w:r>
        <w:rPr>
          <w:rFonts w:hint="eastAsia" w:ascii="宋体" w:hAnsi="宋体" w:cs="宋体"/>
          <w:szCs w:val="21"/>
          <w:lang w:val="en-US" w:eastAsia="zh-CN"/>
        </w:rPr>
        <w:t>0</w:t>
      </w:r>
      <w:r>
        <w:rPr>
          <w:rFonts w:hint="eastAsia" w:ascii="宋体" w:hAnsi="宋体" w:cs="宋体"/>
          <w:szCs w:val="21"/>
          <w:lang w:val="zh-CN"/>
        </w:rPr>
        <w:t>个日历天内供货安装调试到位。</w:t>
      </w:r>
    </w:p>
    <w:p>
      <w:pPr>
        <w:snapToGrid w:val="0"/>
        <w:spacing w:line="400" w:lineRule="atLeast"/>
        <w:ind w:firstLine="562" w:firstLineChars="200"/>
        <w:contextualSpacing/>
        <w:outlineLvl w:val="0"/>
        <w:rPr>
          <w:rFonts w:ascii="仿宋_GB2312" w:hAnsi="仿宋_GB2312" w:eastAsia="仿宋_GB2312" w:cs="仿宋_GB2312"/>
          <w:b/>
          <w:sz w:val="28"/>
          <w:szCs w:val="28"/>
        </w:rPr>
      </w:pPr>
      <w:bookmarkStart w:id="607" w:name="_Toc12017945"/>
      <w:r>
        <w:rPr>
          <w:rFonts w:hint="eastAsia" w:ascii="仿宋_GB2312" w:hAnsi="仿宋_GB2312" w:eastAsia="仿宋_GB2312" w:cs="仿宋_GB2312"/>
          <w:b/>
          <w:sz w:val="28"/>
          <w:szCs w:val="28"/>
        </w:rPr>
        <w:t>10.4履约保证金</w:t>
      </w:r>
      <w:bookmarkEnd w:id="607"/>
    </w:p>
    <w:p>
      <w:pPr>
        <w:snapToGrid w:val="0"/>
        <w:spacing w:line="400" w:lineRule="atLeast"/>
        <w:ind w:firstLine="420" w:firstLineChars="200"/>
        <w:contextualSpacing/>
        <w:rPr>
          <w:rFonts w:ascii="宋体" w:hAnsi="宋体" w:cs="宋体"/>
          <w:szCs w:val="21"/>
          <w:lang w:val="zh-CN"/>
        </w:rPr>
      </w:pPr>
      <w:r>
        <w:rPr>
          <w:rFonts w:hint="eastAsia" w:ascii="宋体" w:hAnsi="宋体" w:cs="宋体"/>
          <w:szCs w:val="21"/>
          <w:lang w:val="zh-CN"/>
        </w:rPr>
        <w:t>1、本项目成交后的履约保证金为项目中标价的2%。</w:t>
      </w:r>
    </w:p>
    <w:p>
      <w:pPr>
        <w:snapToGrid w:val="0"/>
        <w:spacing w:line="400" w:lineRule="atLeast"/>
        <w:ind w:firstLine="420" w:firstLineChars="200"/>
        <w:contextualSpacing/>
        <w:rPr>
          <w:rFonts w:ascii="宋体" w:hAnsi="宋体" w:cs="宋体"/>
          <w:szCs w:val="21"/>
          <w:lang w:val="zh-CN"/>
        </w:rPr>
      </w:pPr>
      <w:r>
        <w:rPr>
          <w:rFonts w:hint="eastAsia" w:ascii="宋体" w:hAnsi="宋体" w:cs="宋体"/>
          <w:szCs w:val="21"/>
          <w:lang w:val="zh-CN"/>
        </w:rPr>
        <w:t>2、中标供应商的履约保证金须在中标通知书发出7个工作日内汇入采购人账户，中标供应商凭“中标通知书”和已经汇至采购人账上的“履约保证金”凭证，7个工作日内与采购人签订合同。超期或未有协商，则视为自动放弃中标资格。</w:t>
      </w:r>
    </w:p>
    <w:p>
      <w:pPr>
        <w:snapToGrid w:val="0"/>
        <w:spacing w:line="400" w:lineRule="atLeast"/>
        <w:ind w:firstLine="420" w:firstLineChars="200"/>
        <w:contextualSpacing/>
        <w:rPr>
          <w:rFonts w:ascii="宋体" w:hAnsi="宋体" w:cs="宋体"/>
          <w:szCs w:val="21"/>
          <w:lang w:val="zh-CN"/>
        </w:rPr>
      </w:pPr>
      <w:r>
        <w:rPr>
          <w:rFonts w:hint="eastAsia" w:ascii="宋体" w:hAnsi="宋体" w:cs="宋体"/>
          <w:szCs w:val="21"/>
          <w:lang w:val="zh-CN"/>
        </w:rPr>
        <w:t>3、中标供应商在按要求保质保量的完成该项目合同并通过验收后，采购人凭中标供应商提交的申请，一次性无息退还该合同项目的履约保证金。</w:t>
      </w:r>
    </w:p>
    <w:p>
      <w:pPr>
        <w:snapToGrid w:val="0"/>
        <w:spacing w:line="400" w:lineRule="atLeast"/>
        <w:ind w:firstLine="420" w:firstLineChars="200"/>
        <w:contextualSpacing/>
        <w:rPr>
          <w:rFonts w:ascii="宋体" w:hAnsi="宋体" w:cs="宋体"/>
          <w:szCs w:val="21"/>
          <w:lang w:val="zh-CN"/>
        </w:rPr>
      </w:pPr>
      <w:r>
        <w:rPr>
          <w:rFonts w:hint="eastAsia" w:ascii="宋体" w:hAnsi="宋体" w:cs="宋体"/>
          <w:szCs w:val="21"/>
          <w:lang w:val="zh-CN"/>
        </w:rPr>
        <w:t>4、由于中标供应商原因，在签订合同后出现不按合同履行的情况，采购人有权将履约保证金作为违约金，全额不予退还，同时采购单位亦有权终止合同，中标供应商还须承担相应的法律赔偿责任。</w:t>
      </w:r>
    </w:p>
    <w:p>
      <w:pPr>
        <w:snapToGrid w:val="0"/>
        <w:spacing w:line="400" w:lineRule="atLeast"/>
        <w:contextualSpacing/>
        <w:rPr>
          <w:rFonts w:ascii="宋体" w:hAnsi="宋体" w:cs="宋体"/>
          <w:szCs w:val="21"/>
          <w:lang w:val="zh-CN"/>
        </w:rPr>
      </w:pPr>
      <w:r>
        <w:rPr>
          <w:rFonts w:hint="eastAsia" w:ascii="宋体" w:hAnsi="宋体" w:cs="宋体"/>
          <w:szCs w:val="21"/>
          <w:lang w:val="zh-CN"/>
        </w:rPr>
        <w:br w:type="page"/>
      </w:r>
      <w:bookmarkStart w:id="608" w:name="_Toc447265559"/>
      <w:bookmarkStart w:id="609" w:name="_Toc447265273"/>
      <w:r>
        <w:rPr>
          <w:rFonts w:hint="eastAsia" w:ascii="宋体" w:hAnsi="宋体" w:cs="宋体"/>
          <w:b/>
          <w:kern w:val="0"/>
          <w:sz w:val="28"/>
          <w:szCs w:val="28"/>
        </w:rPr>
        <w:t>第三章评选办法</w:t>
      </w:r>
      <w:bookmarkEnd w:id="608"/>
      <w:bookmarkEnd w:id="609"/>
    </w:p>
    <w:p>
      <w:pPr>
        <w:pStyle w:val="3"/>
        <w:snapToGrid w:val="0"/>
        <w:spacing w:before="240" w:after="120" w:line="240" w:lineRule="auto"/>
        <w:rPr>
          <w:rFonts w:ascii="宋体" w:hAnsi="宋体" w:eastAsia="宋体" w:cs="宋体"/>
          <w:b w:val="0"/>
          <w:bCs w:val="0"/>
          <w:sz w:val="24"/>
          <w:szCs w:val="24"/>
        </w:rPr>
      </w:pPr>
      <w:bookmarkStart w:id="610" w:name="_Toc12017946"/>
      <w:bookmarkStart w:id="611" w:name="_Toc447265274"/>
      <w:bookmarkStart w:id="612" w:name="_Toc450489344"/>
      <w:bookmarkStart w:id="613" w:name="_Toc447265560"/>
      <w:bookmarkStart w:id="614" w:name="_Toc226969316"/>
      <w:bookmarkStart w:id="615" w:name="_Toc447265276"/>
      <w:bookmarkStart w:id="616" w:name="_Toc447265562"/>
      <w:bookmarkStart w:id="617" w:name="_Toc107822520"/>
      <w:bookmarkStart w:id="618" w:name="_Toc227057922"/>
      <w:r>
        <w:rPr>
          <w:rFonts w:hint="eastAsia" w:ascii="宋体" w:hAnsi="宋体" w:eastAsia="宋体" w:cs="宋体"/>
          <w:b w:val="0"/>
          <w:bCs w:val="0"/>
          <w:sz w:val="24"/>
          <w:szCs w:val="24"/>
        </w:rPr>
        <w:t>评选办法前附表</w:t>
      </w:r>
      <w:bookmarkEnd w:id="610"/>
      <w:bookmarkEnd w:id="611"/>
      <w:bookmarkEnd w:id="612"/>
      <w:bookmarkEnd w:id="613"/>
    </w:p>
    <w:p>
      <w:pPr>
        <w:adjustRightInd w:val="0"/>
        <w:snapToGrid w:val="0"/>
        <w:spacing w:line="440" w:lineRule="exact"/>
        <w:ind w:firstLine="420" w:firstLineChars="200"/>
        <w:rPr>
          <w:rFonts w:ascii="宋体" w:hAnsi="宋体" w:cs="宋体"/>
          <w:szCs w:val="21"/>
          <w:highlight w:val="yellow"/>
        </w:rPr>
      </w:pPr>
      <w:r>
        <w:rPr>
          <w:rFonts w:hint="eastAsia" w:ascii="宋体" w:hAnsi="宋体" w:cs="宋体"/>
          <w:szCs w:val="21"/>
        </w:rPr>
        <w:t>本项目采用综合评估法，总分共100分，其中商务10分，技术60分，价格30分。评选时，评选委员会按照竞争性磋商文件规定的量化因素和权重比值打分。</w:t>
      </w:r>
    </w:p>
    <w:tbl>
      <w:tblPr>
        <w:tblStyle w:val="39"/>
        <w:tblW w:w="882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276"/>
        <w:gridCol w:w="1120"/>
        <w:gridCol w:w="1735"/>
        <w:gridCol w:w="78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567" w:type="dxa"/>
            <w:vMerge w:val="restart"/>
            <w:vAlign w:val="center"/>
          </w:tcPr>
          <w:p>
            <w:pPr>
              <w:snapToGrid w:val="0"/>
              <w:jc w:val="center"/>
              <w:rPr>
                <w:rFonts w:ascii="宋体" w:hAnsi="宋体" w:cs="宋体"/>
                <w:szCs w:val="21"/>
              </w:rPr>
            </w:pPr>
            <w:r>
              <w:rPr>
                <w:rFonts w:hint="eastAsia" w:ascii="宋体" w:hAnsi="宋体" w:cs="宋体"/>
                <w:szCs w:val="21"/>
              </w:rPr>
              <w:t>1</w:t>
            </w:r>
          </w:p>
        </w:tc>
        <w:tc>
          <w:tcPr>
            <w:tcW w:w="1276" w:type="dxa"/>
            <w:vMerge w:val="restart"/>
            <w:vAlign w:val="center"/>
          </w:tcPr>
          <w:p>
            <w:pPr>
              <w:snapToGrid w:val="0"/>
              <w:jc w:val="center"/>
              <w:rPr>
                <w:rFonts w:ascii="宋体" w:hAnsi="宋体" w:cs="宋体"/>
                <w:kern w:val="0"/>
                <w:szCs w:val="21"/>
              </w:rPr>
            </w:pPr>
            <w:r>
              <w:rPr>
                <w:rFonts w:hint="eastAsia" w:ascii="宋体" w:hAnsi="宋体" w:cs="宋体"/>
                <w:kern w:val="0"/>
                <w:szCs w:val="21"/>
              </w:rPr>
              <w:t>评审</w:t>
            </w:r>
          </w:p>
        </w:tc>
        <w:tc>
          <w:tcPr>
            <w:tcW w:w="1120" w:type="dxa"/>
            <w:vAlign w:val="center"/>
          </w:tcPr>
          <w:p>
            <w:pPr>
              <w:snapToGrid w:val="0"/>
              <w:jc w:val="left"/>
              <w:rPr>
                <w:rFonts w:ascii="宋体" w:hAnsi="宋体" w:cs="宋体"/>
                <w:kern w:val="0"/>
                <w:szCs w:val="21"/>
              </w:rPr>
            </w:pPr>
            <w:r>
              <w:rPr>
                <w:rFonts w:hint="eastAsia" w:ascii="宋体" w:hAnsi="宋体" w:cs="宋体"/>
                <w:kern w:val="0"/>
                <w:szCs w:val="21"/>
              </w:rPr>
              <w:t>评审内容</w:t>
            </w:r>
          </w:p>
        </w:tc>
        <w:tc>
          <w:tcPr>
            <w:tcW w:w="1735" w:type="dxa"/>
            <w:vAlign w:val="center"/>
          </w:tcPr>
          <w:p>
            <w:pPr>
              <w:snapToGrid w:val="0"/>
              <w:jc w:val="center"/>
              <w:rPr>
                <w:rFonts w:ascii="宋体" w:hAnsi="宋体" w:cs="宋体"/>
                <w:kern w:val="0"/>
                <w:szCs w:val="21"/>
              </w:rPr>
            </w:pPr>
            <w:r>
              <w:rPr>
                <w:rFonts w:hint="eastAsia" w:ascii="宋体" w:hAnsi="宋体" w:cs="宋体"/>
                <w:kern w:val="0"/>
                <w:szCs w:val="21"/>
              </w:rPr>
              <w:t>评分因素</w:t>
            </w:r>
          </w:p>
        </w:tc>
        <w:tc>
          <w:tcPr>
            <w:tcW w:w="784" w:type="dxa"/>
            <w:vAlign w:val="center"/>
          </w:tcPr>
          <w:p>
            <w:pPr>
              <w:snapToGrid w:val="0"/>
              <w:jc w:val="center"/>
              <w:rPr>
                <w:rFonts w:ascii="宋体" w:hAnsi="宋体" w:cs="宋体"/>
                <w:kern w:val="0"/>
                <w:szCs w:val="21"/>
              </w:rPr>
            </w:pPr>
            <w:r>
              <w:rPr>
                <w:rFonts w:hint="eastAsia" w:ascii="宋体" w:hAnsi="宋体" w:cs="宋体"/>
                <w:kern w:val="0"/>
                <w:szCs w:val="21"/>
              </w:rPr>
              <w:t>分值</w:t>
            </w:r>
          </w:p>
        </w:tc>
        <w:tc>
          <w:tcPr>
            <w:tcW w:w="3346" w:type="dxa"/>
            <w:vAlign w:val="center"/>
          </w:tcPr>
          <w:p>
            <w:pPr>
              <w:snapToGrid w:val="0"/>
              <w:jc w:val="center"/>
              <w:rPr>
                <w:rFonts w:ascii="宋体" w:hAnsi="宋体" w:cs="宋体"/>
                <w:kern w:val="0"/>
                <w:szCs w:val="21"/>
              </w:rPr>
            </w:pPr>
            <w:r>
              <w:rPr>
                <w:rFonts w:hint="eastAsia" w:ascii="宋体" w:hAnsi="宋体" w:cs="宋体"/>
                <w:kern w:val="0"/>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 w:hRule="atLeast"/>
        </w:trPr>
        <w:tc>
          <w:tcPr>
            <w:tcW w:w="567" w:type="dxa"/>
            <w:vMerge w:val="continue"/>
            <w:vAlign w:val="center"/>
          </w:tcPr>
          <w:p>
            <w:pPr>
              <w:snapToGrid w:val="0"/>
              <w:jc w:val="center"/>
              <w:rPr>
                <w:rFonts w:ascii="宋体" w:hAnsi="宋体" w:cs="宋体"/>
                <w:kern w:val="0"/>
                <w:szCs w:val="21"/>
              </w:rPr>
            </w:pPr>
          </w:p>
        </w:tc>
        <w:tc>
          <w:tcPr>
            <w:tcW w:w="1276" w:type="dxa"/>
            <w:vMerge w:val="continue"/>
          </w:tcPr>
          <w:p>
            <w:pPr>
              <w:snapToGrid w:val="0"/>
              <w:jc w:val="center"/>
              <w:rPr>
                <w:rFonts w:ascii="宋体" w:hAnsi="宋体" w:cs="宋体"/>
                <w:kern w:val="0"/>
                <w:szCs w:val="21"/>
              </w:rPr>
            </w:pPr>
          </w:p>
        </w:tc>
        <w:tc>
          <w:tcPr>
            <w:tcW w:w="1120" w:type="dxa"/>
            <w:vMerge w:val="restart"/>
            <w:vAlign w:val="center"/>
          </w:tcPr>
          <w:p>
            <w:pPr>
              <w:snapToGrid w:val="0"/>
              <w:jc w:val="left"/>
              <w:rPr>
                <w:rFonts w:ascii="宋体" w:hAnsi="宋体" w:cs="宋体"/>
                <w:szCs w:val="21"/>
              </w:rPr>
            </w:pPr>
            <w:r>
              <w:rPr>
                <w:rFonts w:hint="eastAsia" w:ascii="宋体" w:hAnsi="宋体" w:cs="宋体"/>
                <w:szCs w:val="21"/>
              </w:rPr>
              <w:t>商务</w:t>
            </w:r>
          </w:p>
        </w:tc>
        <w:tc>
          <w:tcPr>
            <w:tcW w:w="1735" w:type="dxa"/>
            <w:vAlign w:val="center"/>
          </w:tcPr>
          <w:p>
            <w:pPr>
              <w:rPr>
                <w:rFonts w:ascii="宋体" w:hAnsi="宋体" w:cs="宋体"/>
                <w:color w:val="000000"/>
                <w:kern w:val="0"/>
                <w:szCs w:val="21"/>
              </w:rPr>
            </w:pPr>
            <w:r>
              <w:rPr>
                <w:rFonts w:hint="eastAsia" w:ascii="宋体" w:hAnsi="宋体" w:cs="宋体"/>
                <w:color w:val="000000"/>
                <w:kern w:val="0"/>
                <w:szCs w:val="21"/>
              </w:rPr>
              <w:t>公司资质</w:t>
            </w:r>
          </w:p>
        </w:tc>
        <w:tc>
          <w:tcPr>
            <w:tcW w:w="784" w:type="dxa"/>
            <w:vAlign w:val="center"/>
          </w:tcPr>
          <w:p>
            <w:pPr>
              <w:rPr>
                <w:rFonts w:ascii="宋体" w:hAnsi="宋体" w:cs="宋体"/>
                <w:color w:val="000000"/>
                <w:kern w:val="0"/>
                <w:szCs w:val="21"/>
              </w:rPr>
            </w:pPr>
            <w:r>
              <w:rPr>
                <w:rFonts w:hint="eastAsia" w:ascii="宋体" w:hAnsi="宋体" w:cs="宋体"/>
                <w:color w:val="000000"/>
                <w:kern w:val="0"/>
                <w:szCs w:val="21"/>
              </w:rPr>
              <w:t>6</w:t>
            </w:r>
          </w:p>
        </w:tc>
        <w:tc>
          <w:tcPr>
            <w:tcW w:w="3346" w:type="dxa"/>
            <w:vAlign w:val="center"/>
          </w:tcPr>
          <w:p>
            <w:pPr>
              <w:spacing w:line="32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投标人具备电子与智能化工程壹级资质得2分；具备电子与智能化工程贰级资质得1分；具备信息安全管理体系认证证书得2分；具备质量管理体系认证证书得2分。（以上均需提供证书复印件）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 w:hRule="atLeast"/>
        </w:trPr>
        <w:tc>
          <w:tcPr>
            <w:tcW w:w="567" w:type="dxa"/>
            <w:vMerge w:val="continue"/>
            <w:vAlign w:val="center"/>
          </w:tcPr>
          <w:p>
            <w:pPr>
              <w:snapToGrid w:val="0"/>
              <w:jc w:val="center"/>
              <w:rPr>
                <w:rFonts w:ascii="宋体" w:hAnsi="宋体" w:cs="宋体"/>
                <w:kern w:val="0"/>
                <w:szCs w:val="21"/>
              </w:rPr>
            </w:pPr>
          </w:p>
        </w:tc>
        <w:tc>
          <w:tcPr>
            <w:tcW w:w="1276" w:type="dxa"/>
            <w:vMerge w:val="continue"/>
          </w:tcPr>
          <w:p>
            <w:pPr>
              <w:snapToGrid w:val="0"/>
              <w:jc w:val="center"/>
              <w:rPr>
                <w:rFonts w:ascii="宋体" w:hAnsi="宋体" w:cs="宋体"/>
                <w:kern w:val="0"/>
                <w:szCs w:val="21"/>
              </w:rPr>
            </w:pPr>
          </w:p>
        </w:tc>
        <w:tc>
          <w:tcPr>
            <w:tcW w:w="1120" w:type="dxa"/>
            <w:vMerge w:val="continue"/>
            <w:vAlign w:val="center"/>
          </w:tcPr>
          <w:p>
            <w:pPr>
              <w:snapToGrid w:val="0"/>
              <w:jc w:val="left"/>
              <w:rPr>
                <w:rFonts w:ascii="宋体" w:hAnsi="宋体" w:cs="宋体"/>
                <w:szCs w:val="21"/>
              </w:rPr>
            </w:pPr>
          </w:p>
        </w:tc>
        <w:tc>
          <w:tcPr>
            <w:tcW w:w="1735" w:type="dxa"/>
            <w:vAlign w:val="center"/>
          </w:tcPr>
          <w:p>
            <w:pPr>
              <w:rPr>
                <w:rFonts w:ascii="宋体" w:hAnsi="宋体" w:cs="宋体"/>
                <w:color w:val="000000"/>
                <w:kern w:val="0"/>
                <w:szCs w:val="21"/>
              </w:rPr>
            </w:pPr>
            <w:r>
              <w:rPr>
                <w:rFonts w:hint="eastAsia" w:ascii="宋体" w:hAnsi="宋体" w:cs="宋体"/>
                <w:color w:val="000000"/>
                <w:kern w:val="0"/>
                <w:szCs w:val="21"/>
              </w:rPr>
              <w:t>资信等级</w:t>
            </w:r>
          </w:p>
        </w:tc>
        <w:tc>
          <w:tcPr>
            <w:tcW w:w="784" w:type="dxa"/>
            <w:vAlign w:val="center"/>
          </w:tcPr>
          <w:p>
            <w:pPr>
              <w:rPr>
                <w:rFonts w:ascii="宋体" w:hAnsi="宋体" w:cs="宋体"/>
                <w:color w:val="000000"/>
                <w:kern w:val="0"/>
                <w:szCs w:val="21"/>
              </w:rPr>
            </w:pPr>
            <w:r>
              <w:rPr>
                <w:rFonts w:hint="eastAsia" w:ascii="宋体" w:hAnsi="宋体" w:cs="宋体"/>
                <w:color w:val="000000"/>
                <w:kern w:val="0"/>
                <w:szCs w:val="21"/>
              </w:rPr>
              <w:t>2</w:t>
            </w:r>
          </w:p>
        </w:tc>
        <w:tc>
          <w:tcPr>
            <w:tcW w:w="3346" w:type="dxa"/>
            <w:vAlign w:val="center"/>
          </w:tcPr>
          <w:p>
            <w:pPr>
              <w:spacing w:line="320" w:lineRule="exact"/>
              <w:rPr>
                <w:rFonts w:asciiTheme="minorEastAsia" w:hAnsiTheme="minorEastAsia" w:eastAsiaTheme="minorEastAsia" w:cstheme="minorEastAsia"/>
                <w:szCs w:val="21"/>
              </w:rPr>
            </w:pPr>
            <w:r>
              <w:rPr>
                <w:rFonts w:hint="eastAsia"/>
              </w:rPr>
              <w:t>评估机构出具的资信等级：AAA者得2分；AA（AA+、AA、AA－）者得1分；A（A+、A、A－）者及以下得0分。原件备查。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 w:hRule="atLeast"/>
        </w:trPr>
        <w:tc>
          <w:tcPr>
            <w:tcW w:w="567" w:type="dxa"/>
            <w:vMerge w:val="continue"/>
            <w:vAlign w:val="center"/>
          </w:tcPr>
          <w:p>
            <w:pPr>
              <w:snapToGrid w:val="0"/>
              <w:jc w:val="center"/>
              <w:rPr>
                <w:rFonts w:ascii="宋体" w:hAnsi="宋体" w:cs="宋体"/>
                <w:kern w:val="0"/>
                <w:szCs w:val="21"/>
              </w:rPr>
            </w:pPr>
          </w:p>
        </w:tc>
        <w:tc>
          <w:tcPr>
            <w:tcW w:w="1276" w:type="dxa"/>
            <w:vMerge w:val="continue"/>
          </w:tcPr>
          <w:p>
            <w:pPr>
              <w:snapToGrid w:val="0"/>
              <w:jc w:val="center"/>
              <w:rPr>
                <w:rFonts w:ascii="宋体" w:hAnsi="宋体" w:cs="宋体"/>
                <w:kern w:val="0"/>
                <w:szCs w:val="21"/>
              </w:rPr>
            </w:pPr>
          </w:p>
        </w:tc>
        <w:tc>
          <w:tcPr>
            <w:tcW w:w="1120" w:type="dxa"/>
            <w:vMerge w:val="continue"/>
            <w:vAlign w:val="center"/>
          </w:tcPr>
          <w:p>
            <w:pPr>
              <w:snapToGrid w:val="0"/>
              <w:jc w:val="left"/>
              <w:rPr>
                <w:rFonts w:ascii="宋体" w:hAnsi="宋体" w:cs="宋体"/>
                <w:szCs w:val="21"/>
              </w:rPr>
            </w:pPr>
          </w:p>
        </w:tc>
        <w:tc>
          <w:tcPr>
            <w:tcW w:w="1735" w:type="dxa"/>
            <w:vAlign w:val="center"/>
          </w:tcPr>
          <w:p>
            <w:pPr>
              <w:rPr>
                <w:rFonts w:ascii="宋体" w:hAnsi="宋体" w:cs="宋体"/>
                <w:color w:val="000000"/>
                <w:kern w:val="0"/>
                <w:szCs w:val="21"/>
              </w:rPr>
            </w:pPr>
            <w:r>
              <w:rPr>
                <w:rFonts w:hint="eastAsia" w:ascii="宋体" w:hAnsi="宋体" w:cs="宋体"/>
                <w:color w:val="000000"/>
                <w:kern w:val="0"/>
                <w:szCs w:val="21"/>
                <w:lang w:val="en-GB"/>
              </w:rPr>
              <w:t>投标文件编制水平</w:t>
            </w:r>
          </w:p>
        </w:tc>
        <w:tc>
          <w:tcPr>
            <w:tcW w:w="784" w:type="dxa"/>
            <w:vAlign w:val="center"/>
          </w:tcPr>
          <w:p>
            <w:pPr>
              <w:rPr>
                <w:rFonts w:ascii="宋体" w:hAnsi="宋体" w:cs="宋体"/>
                <w:color w:val="000000"/>
                <w:kern w:val="0"/>
                <w:szCs w:val="21"/>
              </w:rPr>
            </w:pPr>
            <w:r>
              <w:rPr>
                <w:rFonts w:hint="eastAsia" w:ascii="宋体" w:hAnsi="宋体" w:cs="宋体"/>
                <w:color w:val="000000"/>
                <w:kern w:val="0"/>
                <w:szCs w:val="21"/>
              </w:rPr>
              <w:t>2</w:t>
            </w:r>
          </w:p>
        </w:tc>
        <w:tc>
          <w:tcPr>
            <w:tcW w:w="3346" w:type="dxa"/>
            <w:vAlign w:val="center"/>
          </w:tcPr>
          <w:p>
            <w:pPr>
              <w:spacing w:line="280" w:lineRule="exact"/>
              <w:rPr>
                <w:rFonts w:ascii="宋体" w:hAnsi="宋体" w:cs="宋体"/>
                <w:szCs w:val="21"/>
              </w:rPr>
            </w:pPr>
            <w:r>
              <w:rPr>
                <w:rFonts w:hint="eastAsia"/>
              </w:rPr>
              <w:t>根据</w:t>
            </w:r>
            <w:r>
              <w:rPr>
                <w:rFonts w:hint="eastAsia"/>
                <w:lang w:val="en-GB"/>
              </w:rPr>
              <w:t>投标</w:t>
            </w:r>
            <w:r>
              <w:rPr>
                <w:rFonts w:hint="eastAsia"/>
              </w:rPr>
              <w:t>文件编制的质量进行评分（围绕内容、文字、装订、目录、页码等要点）：优秀的得2分，良好的得1分，其余不得分。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trPr>
        <w:tc>
          <w:tcPr>
            <w:tcW w:w="567" w:type="dxa"/>
            <w:vMerge w:val="continue"/>
            <w:vAlign w:val="center"/>
          </w:tcPr>
          <w:p>
            <w:pPr>
              <w:snapToGrid w:val="0"/>
              <w:jc w:val="center"/>
              <w:rPr>
                <w:rFonts w:ascii="宋体" w:hAnsi="宋体" w:cs="宋体"/>
                <w:kern w:val="0"/>
                <w:szCs w:val="21"/>
              </w:rPr>
            </w:pPr>
          </w:p>
        </w:tc>
        <w:tc>
          <w:tcPr>
            <w:tcW w:w="1276" w:type="dxa"/>
            <w:vMerge w:val="continue"/>
          </w:tcPr>
          <w:p>
            <w:pPr>
              <w:snapToGrid w:val="0"/>
              <w:jc w:val="center"/>
              <w:rPr>
                <w:rFonts w:ascii="宋体" w:hAnsi="宋体" w:cs="宋体"/>
                <w:kern w:val="0"/>
                <w:szCs w:val="21"/>
              </w:rPr>
            </w:pPr>
          </w:p>
        </w:tc>
        <w:tc>
          <w:tcPr>
            <w:tcW w:w="1120" w:type="dxa"/>
            <w:vMerge w:val="restart"/>
            <w:vAlign w:val="center"/>
          </w:tcPr>
          <w:p>
            <w:pPr>
              <w:snapToGrid w:val="0"/>
              <w:jc w:val="left"/>
              <w:rPr>
                <w:rFonts w:ascii="宋体" w:hAnsi="宋体" w:cs="宋体"/>
                <w:kern w:val="0"/>
                <w:szCs w:val="21"/>
              </w:rPr>
            </w:pPr>
            <w:r>
              <w:rPr>
                <w:rFonts w:hint="eastAsia" w:ascii="宋体" w:hAnsi="宋体" w:cs="宋体"/>
                <w:kern w:val="0"/>
                <w:szCs w:val="21"/>
              </w:rPr>
              <w:t>技术</w:t>
            </w:r>
          </w:p>
        </w:tc>
        <w:tc>
          <w:tcPr>
            <w:tcW w:w="1735" w:type="dxa"/>
            <w:vAlign w:val="center"/>
          </w:tcPr>
          <w:p>
            <w:pPr>
              <w:rPr>
                <w:rFonts w:ascii="宋体" w:hAnsi="宋体" w:cs="宋体"/>
                <w:color w:val="000000"/>
                <w:kern w:val="0"/>
                <w:szCs w:val="21"/>
              </w:rPr>
            </w:pPr>
            <w:r>
              <w:rPr>
                <w:rFonts w:hint="eastAsia" w:ascii="宋体" w:hAnsi="宋体" w:cs="宋体"/>
                <w:color w:val="000000"/>
                <w:kern w:val="0"/>
                <w:szCs w:val="21"/>
                <w:lang w:val="en-GB"/>
              </w:rPr>
              <w:t>技术参数</w:t>
            </w:r>
            <w:r>
              <w:rPr>
                <w:rFonts w:hint="eastAsia" w:ascii="宋体" w:hAnsi="宋体" w:cs="宋体"/>
                <w:color w:val="000000"/>
                <w:kern w:val="0"/>
                <w:szCs w:val="21"/>
              </w:rPr>
              <w:t>响应</w:t>
            </w:r>
          </w:p>
        </w:tc>
        <w:tc>
          <w:tcPr>
            <w:tcW w:w="784" w:type="dxa"/>
            <w:vAlign w:val="center"/>
          </w:tcPr>
          <w:p>
            <w:pPr>
              <w:rPr>
                <w:rFonts w:ascii="宋体" w:hAnsi="宋体" w:cs="宋体"/>
                <w:color w:val="000000"/>
                <w:kern w:val="0"/>
                <w:szCs w:val="21"/>
              </w:rPr>
            </w:pPr>
            <w:r>
              <w:rPr>
                <w:rFonts w:hint="eastAsia" w:ascii="宋体" w:hAnsi="宋体" w:cs="宋体"/>
                <w:color w:val="000000"/>
                <w:kern w:val="0"/>
                <w:szCs w:val="21"/>
              </w:rPr>
              <w:t>50</w:t>
            </w:r>
          </w:p>
        </w:tc>
        <w:tc>
          <w:tcPr>
            <w:tcW w:w="3346" w:type="dxa"/>
            <w:vAlign w:val="center"/>
          </w:tcPr>
          <w:p>
            <w:pPr>
              <w:rPr>
                <w:rFonts w:ascii="宋体" w:hAnsi="宋体" w:cs="宋体"/>
                <w:color w:val="000000"/>
                <w:kern w:val="0"/>
                <w:szCs w:val="21"/>
              </w:rPr>
            </w:pPr>
            <w:r>
              <w:rPr>
                <w:rFonts w:hint="eastAsia" w:ascii="宋体" w:hAnsi="宋体" w:cs="宋体"/>
                <w:color w:val="000000"/>
                <w:kern w:val="0"/>
                <w:szCs w:val="21"/>
              </w:rPr>
              <w:t>IP网络核心广播主机、智能检票闸机系统、多媒体报警柱打★的参数指标为功能需求的重要参数指标，投标人需根据技术标准内参数要求提供厂家技术偏离表材料（加盖厂家公章方为有效，否则视为参数不满足），打“★”的为重要参数指标，每负偏离一项扣4分，至本项40分扣完为止。</w:t>
            </w:r>
          </w:p>
          <w:p>
            <w:pPr>
              <w:rPr>
                <w:rFonts w:ascii="宋体" w:hAnsi="宋体" w:cs="宋体"/>
                <w:color w:val="000000"/>
                <w:kern w:val="0"/>
                <w:szCs w:val="21"/>
              </w:rPr>
            </w:pPr>
            <w:r>
              <w:rPr>
                <w:rFonts w:hint="eastAsia" w:ascii="宋体" w:hAnsi="宋体" w:cs="宋体"/>
                <w:szCs w:val="21"/>
              </w:rPr>
              <w:t>提供</w:t>
            </w:r>
            <w:r>
              <w:rPr>
                <w:rFonts w:hint="eastAsia" w:ascii="宋体" w:hAnsi="宋体" w:cs="宋体"/>
                <w:color w:val="000000"/>
                <w:kern w:val="0"/>
                <w:szCs w:val="21"/>
              </w:rPr>
              <w:t>多媒体报警柱</w:t>
            </w:r>
            <w:r>
              <w:rPr>
                <w:rFonts w:hint="eastAsia" w:ascii="宋体" w:hAnsi="宋体" w:cs="宋体"/>
                <w:szCs w:val="21"/>
              </w:rPr>
              <w:t>原厂五年质保函5分、提供</w:t>
            </w:r>
            <w:r>
              <w:rPr>
                <w:rFonts w:hint="eastAsia" w:ascii="宋体" w:hAnsi="宋体" w:cs="宋体"/>
                <w:color w:val="000000"/>
                <w:kern w:val="0"/>
                <w:szCs w:val="21"/>
              </w:rPr>
              <w:t>智能检票闸机系统</w:t>
            </w:r>
            <w:r>
              <w:rPr>
                <w:rFonts w:hint="eastAsia" w:ascii="宋体" w:hAnsi="宋体" w:cs="宋体"/>
                <w:szCs w:val="21"/>
              </w:rPr>
              <w:t>五年质保函5分。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567" w:type="dxa"/>
            <w:vMerge w:val="continue"/>
            <w:vAlign w:val="center"/>
          </w:tcPr>
          <w:p>
            <w:pPr>
              <w:snapToGrid w:val="0"/>
              <w:jc w:val="center"/>
              <w:rPr>
                <w:rFonts w:ascii="宋体" w:hAnsi="宋体" w:cs="宋体"/>
                <w:kern w:val="0"/>
                <w:szCs w:val="21"/>
              </w:rPr>
            </w:pPr>
          </w:p>
          <w:p>
            <w:pPr>
              <w:snapToGrid w:val="0"/>
              <w:jc w:val="center"/>
              <w:rPr>
                <w:rFonts w:ascii="宋体" w:hAnsi="宋体" w:cs="宋体"/>
                <w:kern w:val="0"/>
                <w:szCs w:val="21"/>
              </w:rPr>
            </w:pPr>
          </w:p>
        </w:tc>
        <w:tc>
          <w:tcPr>
            <w:tcW w:w="1276" w:type="dxa"/>
            <w:vMerge w:val="continue"/>
          </w:tcPr>
          <w:p>
            <w:pPr>
              <w:snapToGrid w:val="0"/>
              <w:jc w:val="center"/>
              <w:rPr>
                <w:rFonts w:ascii="宋体" w:hAnsi="宋体" w:cs="宋体"/>
                <w:kern w:val="0"/>
                <w:szCs w:val="21"/>
              </w:rPr>
            </w:pPr>
          </w:p>
        </w:tc>
        <w:tc>
          <w:tcPr>
            <w:tcW w:w="1120" w:type="dxa"/>
            <w:vMerge w:val="continue"/>
            <w:vAlign w:val="center"/>
          </w:tcPr>
          <w:p>
            <w:pPr>
              <w:snapToGrid w:val="0"/>
              <w:jc w:val="left"/>
              <w:rPr>
                <w:rFonts w:ascii="宋体" w:hAnsi="宋体" w:cs="宋体"/>
                <w:kern w:val="0"/>
                <w:szCs w:val="21"/>
              </w:rPr>
            </w:pPr>
          </w:p>
        </w:tc>
        <w:tc>
          <w:tcPr>
            <w:tcW w:w="1735" w:type="dxa"/>
            <w:vAlign w:val="center"/>
          </w:tcPr>
          <w:p>
            <w:pPr>
              <w:rPr>
                <w:rFonts w:ascii="宋体" w:hAnsi="宋体" w:cs="宋体"/>
                <w:color w:val="000000"/>
                <w:kern w:val="0"/>
                <w:szCs w:val="21"/>
              </w:rPr>
            </w:pPr>
          </w:p>
          <w:p>
            <w:pPr>
              <w:rPr>
                <w:rFonts w:ascii="宋体" w:hAnsi="宋体" w:cs="宋体"/>
                <w:color w:val="000000"/>
                <w:kern w:val="0"/>
                <w:szCs w:val="21"/>
              </w:rPr>
            </w:pPr>
            <w:r>
              <w:rPr>
                <w:rFonts w:hint="eastAsia" w:ascii="宋体" w:hAnsi="宋体" w:cs="宋体"/>
                <w:color w:val="000000"/>
                <w:kern w:val="0"/>
                <w:szCs w:val="21"/>
              </w:rPr>
              <w:t>施工组织设计</w:t>
            </w:r>
          </w:p>
        </w:tc>
        <w:tc>
          <w:tcPr>
            <w:tcW w:w="784" w:type="dxa"/>
            <w:vAlign w:val="center"/>
          </w:tcPr>
          <w:p>
            <w:pPr>
              <w:rPr>
                <w:rFonts w:ascii="宋体" w:hAnsi="宋体" w:cs="宋体"/>
                <w:color w:val="000000"/>
                <w:kern w:val="0"/>
                <w:szCs w:val="21"/>
              </w:rPr>
            </w:pPr>
            <w:r>
              <w:rPr>
                <w:rFonts w:hint="eastAsia" w:ascii="宋体" w:hAnsi="宋体" w:cs="宋体"/>
                <w:color w:val="000000"/>
                <w:kern w:val="0"/>
                <w:szCs w:val="21"/>
              </w:rPr>
              <w:t>4</w:t>
            </w:r>
          </w:p>
        </w:tc>
        <w:tc>
          <w:tcPr>
            <w:tcW w:w="3346" w:type="dxa"/>
            <w:vAlign w:val="center"/>
          </w:tcPr>
          <w:p>
            <w:pPr>
              <w:rPr>
                <w:rFonts w:ascii="宋体" w:hAnsi="宋体" w:cs="宋体"/>
                <w:color w:val="000000"/>
                <w:kern w:val="0"/>
                <w:szCs w:val="21"/>
              </w:rPr>
            </w:pPr>
            <w:r>
              <w:rPr>
                <w:rFonts w:hint="eastAsia" w:ascii="宋体" w:hAnsi="宋体" w:cs="宋体"/>
                <w:color w:val="000000"/>
                <w:kern w:val="0"/>
                <w:szCs w:val="21"/>
              </w:rPr>
              <w:t>包含不限于：质量保证体系、施工能力、人员配备、进度控制。根据投标人编制方案的详细程度和可执行性。方案详细可执行性强，得4分；方案齐全可执行性一般，得3分。方案不详细可执行性差，得2分。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trPr>
        <w:tc>
          <w:tcPr>
            <w:tcW w:w="567" w:type="dxa"/>
            <w:vMerge w:val="continue"/>
            <w:vAlign w:val="center"/>
          </w:tcPr>
          <w:p>
            <w:pPr>
              <w:snapToGrid w:val="0"/>
              <w:jc w:val="center"/>
              <w:rPr>
                <w:rFonts w:ascii="宋体" w:hAnsi="宋体" w:cs="宋体"/>
                <w:kern w:val="0"/>
                <w:szCs w:val="21"/>
              </w:rPr>
            </w:pPr>
          </w:p>
        </w:tc>
        <w:tc>
          <w:tcPr>
            <w:tcW w:w="1276" w:type="dxa"/>
            <w:vMerge w:val="continue"/>
          </w:tcPr>
          <w:p>
            <w:pPr>
              <w:snapToGrid w:val="0"/>
              <w:jc w:val="center"/>
              <w:rPr>
                <w:rFonts w:ascii="宋体" w:hAnsi="宋体" w:cs="宋体"/>
                <w:kern w:val="0"/>
                <w:szCs w:val="21"/>
              </w:rPr>
            </w:pPr>
          </w:p>
        </w:tc>
        <w:tc>
          <w:tcPr>
            <w:tcW w:w="1120" w:type="dxa"/>
            <w:vMerge w:val="continue"/>
            <w:vAlign w:val="center"/>
          </w:tcPr>
          <w:p>
            <w:pPr>
              <w:snapToGrid w:val="0"/>
              <w:jc w:val="left"/>
              <w:rPr>
                <w:rFonts w:ascii="宋体" w:hAnsi="宋体" w:cs="宋体"/>
                <w:kern w:val="0"/>
                <w:szCs w:val="21"/>
              </w:rPr>
            </w:pPr>
          </w:p>
        </w:tc>
        <w:tc>
          <w:tcPr>
            <w:tcW w:w="1735" w:type="dxa"/>
            <w:shd w:val="clear" w:color="auto" w:fill="auto"/>
            <w:vAlign w:val="center"/>
          </w:tcPr>
          <w:p>
            <w:pPr>
              <w:rPr>
                <w:rFonts w:ascii="宋体" w:hAnsi="宋体" w:cs="宋体"/>
                <w:color w:val="000000"/>
                <w:kern w:val="0"/>
                <w:szCs w:val="21"/>
              </w:rPr>
            </w:pPr>
            <w:r>
              <w:rPr>
                <w:rFonts w:hint="eastAsia" w:ascii="宋体" w:hAnsi="宋体" w:cs="宋体"/>
                <w:color w:val="000000"/>
                <w:kern w:val="0"/>
                <w:szCs w:val="21"/>
              </w:rPr>
              <w:t>安全生产及文明施工</w:t>
            </w:r>
          </w:p>
        </w:tc>
        <w:tc>
          <w:tcPr>
            <w:tcW w:w="784" w:type="dxa"/>
            <w:shd w:val="clear" w:color="000000" w:fill="FFFFFF"/>
            <w:vAlign w:val="center"/>
          </w:tcPr>
          <w:p>
            <w:pPr>
              <w:rPr>
                <w:rFonts w:ascii="宋体" w:hAnsi="宋体" w:cs="宋体"/>
                <w:color w:val="000000"/>
                <w:kern w:val="0"/>
                <w:szCs w:val="21"/>
              </w:rPr>
            </w:pPr>
            <w:r>
              <w:rPr>
                <w:rFonts w:hint="eastAsia" w:ascii="宋体" w:hAnsi="宋体" w:cs="宋体"/>
                <w:color w:val="000000"/>
                <w:kern w:val="0"/>
                <w:szCs w:val="21"/>
              </w:rPr>
              <w:t>3</w:t>
            </w:r>
          </w:p>
        </w:tc>
        <w:tc>
          <w:tcPr>
            <w:tcW w:w="3346" w:type="dxa"/>
            <w:vAlign w:val="center"/>
          </w:tcPr>
          <w:p>
            <w:pPr>
              <w:rPr>
                <w:rFonts w:ascii="宋体" w:hAnsi="宋体" w:cs="宋体"/>
                <w:color w:val="000000"/>
                <w:kern w:val="0"/>
                <w:szCs w:val="21"/>
              </w:rPr>
            </w:pPr>
            <w:r>
              <w:rPr>
                <w:rFonts w:hint="eastAsia" w:ascii="宋体" w:hAnsi="宋体" w:cs="宋体"/>
                <w:color w:val="000000"/>
                <w:kern w:val="0"/>
                <w:szCs w:val="21"/>
              </w:rPr>
              <w:t>根据安全生产相关制度、安全生产操作规程、文明施工措施及安全事故应急救援预案齐全详细得3分；方案齐全得2分。方案不详细得1分。不提供不得分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trPr>
        <w:tc>
          <w:tcPr>
            <w:tcW w:w="567" w:type="dxa"/>
            <w:vMerge w:val="continue"/>
            <w:vAlign w:val="center"/>
          </w:tcPr>
          <w:p>
            <w:pPr>
              <w:snapToGrid w:val="0"/>
              <w:jc w:val="center"/>
              <w:rPr>
                <w:rFonts w:ascii="宋体" w:hAnsi="宋体" w:cs="宋体"/>
                <w:color w:val="FF0000"/>
                <w:kern w:val="0"/>
                <w:szCs w:val="21"/>
              </w:rPr>
            </w:pPr>
          </w:p>
        </w:tc>
        <w:tc>
          <w:tcPr>
            <w:tcW w:w="1276" w:type="dxa"/>
            <w:vMerge w:val="continue"/>
          </w:tcPr>
          <w:p>
            <w:pPr>
              <w:snapToGrid w:val="0"/>
              <w:jc w:val="center"/>
              <w:rPr>
                <w:rFonts w:ascii="宋体" w:hAnsi="宋体" w:cs="宋体"/>
                <w:color w:val="FF0000"/>
                <w:kern w:val="0"/>
                <w:szCs w:val="21"/>
              </w:rPr>
            </w:pPr>
          </w:p>
        </w:tc>
        <w:tc>
          <w:tcPr>
            <w:tcW w:w="1120" w:type="dxa"/>
            <w:vAlign w:val="center"/>
          </w:tcPr>
          <w:p>
            <w:pPr>
              <w:snapToGrid w:val="0"/>
              <w:jc w:val="left"/>
              <w:rPr>
                <w:rFonts w:ascii="宋体" w:hAnsi="宋体" w:cs="宋体"/>
                <w:color w:val="000000" w:themeColor="text1"/>
                <w:kern w:val="0"/>
                <w:szCs w:val="21"/>
                <w14:textFill>
                  <w14:solidFill>
                    <w14:schemeClr w14:val="tx1"/>
                  </w14:solidFill>
                </w14:textFill>
              </w:rPr>
            </w:pPr>
          </w:p>
        </w:tc>
        <w:tc>
          <w:tcPr>
            <w:tcW w:w="1735" w:type="dxa"/>
            <w:shd w:val="clear" w:color="auto" w:fill="auto"/>
            <w:vAlign w:val="center"/>
          </w:tcPr>
          <w:p>
            <w:pP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培训及售后服务</w:t>
            </w:r>
          </w:p>
        </w:tc>
        <w:tc>
          <w:tcPr>
            <w:tcW w:w="784" w:type="dxa"/>
            <w:shd w:val="clear" w:color="000000" w:fill="FFFFFF"/>
            <w:vAlign w:val="center"/>
          </w:tcPr>
          <w:p>
            <w:pP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3346" w:type="dxa"/>
            <w:vAlign w:val="center"/>
          </w:tcPr>
          <w:p>
            <w:pPr>
              <w:pStyle w:val="47"/>
              <w:ind w:firstLine="0" w:firstLineChars="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1、培训内容和计划完整完善可行得1分，其他不得分。</w:t>
            </w:r>
          </w:p>
          <w:p>
            <w:pPr>
              <w:pStyle w:val="47"/>
              <w:ind w:firstLine="0" w:firstLineChars="0"/>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2、提供专业维护队伍、维修维护方案、有详细的维保响应时间、保障措施。优得2分，良得1分，差不得分。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trPr>
        <w:tc>
          <w:tcPr>
            <w:tcW w:w="567" w:type="dxa"/>
            <w:vMerge w:val="continue"/>
            <w:vAlign w:val="center"/>
          </w:tcPr>
          <w:p>
            <w:pPr>
              <w:snapToGrid w:val="0"/>
              <w:jc w:val="center"/>
              <w:rPr>
                <w:rFonts w:ascii="宋体" w:hAnsi="宋体" w:cs="宋体"/>
                <w:kern w:val="0"/>
                <w:szCs w:val="21"/>
              </w:rPr>
            </w:pPr>
          </w:p>
        </w:tc>
        <w:tc>
          <w:tcPr>
            <w:tcW w:w="1276" w:type="dxa"/>
            <w:vMerge w:val="continue"/>
          </w:tcPr>
          <w:p>
            <w:pPr>
              <w:snapToGrid w:val="0"/>
              <w:jc w:val="center"/>
              <w:rPr>
                <w:rFonts w:ascii="宋体" w:hAnsi="宋体" w:cs="宋体"/>
                <w:kern w:val="0"/>
                <w:szCs w:val="21"/>
              </w:rPr>
            </w:pPr>
          </w:p>
        </w:tc>
        <w:tc>
          <w:tcPr>
            <w:tcW w:w="1120" w:type="dxa"/>
            <w:vAlign w:val="center"/>
          </w:tcPr>
          <w:p>
            <w:pPr>
              <w:snapToGrid w:val="0"/>
              <w:jc w:val="left"/>
              <w:rPr>
                <w:rFonts w:ascii="宋体" w:hAnsi="宋体" w:cs="宋体"/>
                <w:kern w:val="0"/>
                <w:szCs w:val="21"/>
              </w:rPr>
            </w:pPr>
            <w:r>
              <w:rPr>
                <w:rFonts w:hint="eastAsia" w:ascii="宋体" w:hAnsi="宋体" w:cs="宋体"/>
                <w:kern w:val="0"/>
                <w:szCs w:val="21"/>
              </w:rPr>
              <w:t>价格</w:t>
            </w:r>
          </w:p>
        </w:tc>
        <w:tc>
          <w:tcPr>
            <w:tcW w:w="5865" w:type="dxa"/>
            <w:gridSpan w:val="3"/>
            <w:vAlign w:val="center"/>
          </w:tcPr>
          <w:p>
            <w:pPr>
              <w:snapToGrid w:val="0"/>
              <w:jc w:val="center"/>
              <w:rPr>
                <w:rFonts w:ascii="宋体" w:hAnsi="宋体" w:cs="宋体"/>
                <w:kern w:val="0"/>
                <w:szCs w:val="21"/>
              </w:rPr>
            </w:pPr>
            <w:r>
              <w:rPr>
                <w:rFonts w:hint="eastAsia" w:ascii="宋体" w:hAnsi="宋体" w:cs="宋体"/>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trPr>
        <w:tc>
          <w:tcPr>
            <w:tcW w:w="567" w:type="dxa"/>
            <w:vAlign w:val="center"/>
          </w:tcPr>
          <w:p>
            <w:pPr>
              <w:snapToGrid w:val="0"/>
              <w:jc w:val="center"/>
              <w:rPr>
                <w:rFonts w:ascii="宋体" w:hAnsi="宋体" w:cs="宋体"/>
                <w:kern w:val="0"/>
                <w:szCs w:val="21"/>
              </w:rPr>
            </w:pPr>
            <w:r>
              <w:rPr>
                <w:rFonts w:hint="eastAsia" w:ascii="宋体" w:hAnsi="宋体" w:cs="宋体"/>
                <w:kern w:val="0"/>
                <w:szCs w:val="21"/>
              </w:rPr>
              <w:t>2</w:t>
            </w:r>
          </w:p>
        </w:tc>
        <w:tc>
          <w:tcPr>
            <w:tcW w:w="1276" w:type="dxa"/>
            <w:vAlign w:val="center"/>
          </w:tcPr>
          <w:p>
            <w:pPr>
              <w:snapToGrid w:val="0"/>
              <w:jc w:val="left"/>
              <w:rPr>
                <w:rFonts w:ascii="宋体" w:hAnsi="宋体" w:cs="宋体"/>
                <w:kern w:val="0"/>
                <w:szCs w:val="21"/>
              </w:rPr>
            </w:pPr>
            <w:r>
              <w:rPr>
                <w:rFonts w:hint="eastAsia" w:ascii="宋体" w:hAnsi="宋体" w:cs="宋体"/>
                <w:kern w:val="0"/>
                <w:szCs w:val="21"/>
              </w:rPr>
              <w:t>评分计算原则</w:t>
            </w:r>
          </w:p>
        </w:tc>
        <w:tc>
          <w:tcPr>
            <w:tcW w:w="6985" w:type="dxa"/>
            <w:gridSpan w:val="4"/>
            <w:vAlign w:val="center"/>
          </w:tcPr>
          <w:p>
            <w:pPr>
              <w:rPr>
                <w:rFonts w:ascii="宋体" w:hAnsi="宋体" w:cs="宋体"/>
                <w:kern w:val="0"/>
                <w:szCs w:val="21"/>
              </w:rPr>
            </w:pPr>
            <w:r>
              <w:rPr>
                <w:rFonts w:hint="eastAsia" w:ascii="宋体" w:hAnsi="宋体" w:cs="宋体"/>
                <w:kern w:val="0"/>
                <w:szCs w:val="21"/>
              </w:rPr>
              <w:t>投标价格最低的投标报价作为评选基准价，其价格为满分。其他供应商的价格分统一按照下列公式计算： 投标报价得分=（评选基准价/投标报价）×30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trPr>
        <w:tc>
          <w:tcPr>
            <w:tcW w:w="567" w:type="dxa"/>
            <w:vAlign w:val="center"/>
          </w:tcPr>
          <w:p>
            <w:pPr>
              <w:snapToGrid w:val="0"/>
              <w:jc w:val="center"/>
              <w:rPr>
                <w:rFonts w:ascii="宋体" w:hAnsi="宋体" w:cs="宋体"/>
                <w:kern w:val="0"/>
                <w:szCs w:val="21"/>
              </w:rPr>
            </w:pPr>
            <w:r>
              <w:rPr>
                <w:rFonts w:hint="eastAsia" w:ascii="宋体" w:hAnsi="宋体" w:cs="宋体"/>
                <w:kern w:val="0"/>
                <w:szCs w:val="21"/>
              </w:rPr>
              <w:t>3</w:t>
            </w:r>
          </w:p>
        </w:tc>
        <w:tc>
          <w:tcPr>
            <w:tcW w:w="1276" w:type="dxa"/>
            <w:vAlign w:val="center"/>
          </w:tcPr>
          <w:p>
            <w:pPr>
              <w:snapToGrid w:val="0"/>
              <w:jc w:val="left"/>
              <w:rPr>
                <w:rFonts w:ascii="宋体" w:hAnsi="宋体" w:cs="宋体"/>
                <w:kern w:val="0"/>
                <w:szCs w:val="21"/>
              </w:rPr>
            </w:pPr>
            <w:r>
              <w:rPr>
                <w:rFonts w:hint="eastAsia" w:ascii="宋体" w:hAnsi="宋体" w:cs="宋体"/>
                <w:kern w:val="0"/>
                <w:szCs w:val="21"/>
              </w:rPr>
              <w:t>中选候选人推荐原则</w:t>
            </w:r>
          </w:p>
        </w:tc>
        <w:tc>
          <w:tcPr>
            <w:tcW w:w="6985" w:type="dxa"/>
            <w:gridSpan w:val="4"/>
            <w:vAlign w:val="center"/>
          </w:tcPr>
          <w:p>
            <w:pPr>
              <w:snapToGrid w:val="0"/>
              <w:rPr>
                <w:rFonts w:ascii="宋体" w:hAnsi="宋体" w:cs="宋体"/>
                <w:kern w:val="0"/>
                <w:szCs w:val="21"/>
              </w:rPr>
            </w:pPr>
            <w:r>
              <w:rPr>
                <w:rFonts w:hint="eastAsia" w:ascii="宋体" w:hAnsi="宋体" w:cs="宋体"/>
                <w:kern w:val="0"/>
                <w:szCs w:val="21"/>
              </w:rPr>
              <w:t>中选候选人1名</w:t>
            </w:r>
          </w:p>
          <w:p>
            <w:pPr>
              <w:snapToGrid w:val="0"/>
              <w:rPr>
                <w:rFonts w:ascii="宋体" w:hAnsi="宋体" w:cs="宋体"/>
                <w:kern w:val="0"/>
                <w:szCs w:val="21"/>
              </w:rPr>
            </w:pPr>
            <w:r>
              <w:rPr>
                <w:rFonts w:hint="eastAsia" w:ascii="宋体" w:hAnsi="宋体" w:cs="宋体"/>
                <w:kern w:val="0"/>
                <w:szCs w:val="21"/>
              </w:rPr>
              <w:t>中选人1名</w:t>
            </w:r>
          </w:p>
          <w:p>
            <w:pPr>
              <w:pStyle w:val="47"/>
              <w:snapToGrid w:val="0"/>
              <w:ind w:left="14" w:firstLine="0" w:firstLineChars="0"/>
              <w:rPr>
                <w:rFonts w:ascii="宋体" w:hAnsi="宋体" w:cs="宋体"/>
                <w:kern w:val="0"/>
                <w:szCs w:val="21"/>
              </w:rPr>
            </w:pPr>
            <w:r>
              <w:rPr>
                <w:rFonts w:hint="eastAsia" w:ascii="宋体" w:hAnsi="宋体" w:cs="宋体"/>
                <w:kern w:val="0"/>
                <w:szCs w:val="21"/>
              </w:rPr>
              <w:t>评标委员会按照综合得分由高到低的顺序推荐中选候选人。</w:t>
            </w:r>
          </w:p>
        </w:tc>
      </w:tr>
    </w:tbl>
    <w:p>
      <w:pPr>
        <w:spacing w:after="120"/>
        <w:ind w:firstLine="424" w:firstLineChars="201"/>
        <w:rPr>
          <w:rFonts w:ascii="宋体" w:hAnsi="宋体"/>
          <w:b/>
          <w:szCs w:val="21"/>
        </w:rPr>
      </w:pPr>
    </w:p>
    <w:p>
      <w:pPr>
        <w:spacing w:after="120"/>
        <w:ind w:firstLine="424" w:firstLineChars="201"/>
        <w:rPr>
          <w:rFonts w:ascii="宋体" w:hAnsi="宋体"/>
          <w:b/>
          <w:szCs w:val="21"/>
        </w:rPr>
      </w:pPr>
    </w:p>
    <w:p>
      <w:pPr>
        <w:pStyle w:val="35"/>
        <w:numPr>
          <w:ilvl w:val="0"/>
          <w:numId w:val="9"/>
        </w:numPr>
        <w:snapToGrid w:val="0"/>
        <w:spacing w:before="120" w:after="120" w:line="440" w:lineRule="exact"/>
        <w:ind w:left="0" w:firstLine="0"/>
        <w:jc w:val="left"/>
        <w:rPr>
          <w:rFonts w:ascii="宋体" w:hAnsi="宋体"/>
          <w:sz w:val="28"/>
          <w:szCs w:val="28"/>
        </w:rPr>
      </w:pPr>
      <w:bookmarkStart w:id="619" w:name="_Toc26308"/>
      <w:bookmarkStart w:id="620" w:name="_Toc8266"/>
      <w:bookmarkStart w:id="621" w:name="_Toc7284"/>
      <w:bookmarkStart w:id="622" w:name="_Toc26063"/>
      <w:bookmarkStart w:id="623" w:name="_Toc450489345"/>
      <w:bookmarkStart w:id="624" w:name="_Toc12017947"/>
      <w:r>
        <w:rPr>
          <w:rFonts w:hint="eastAsia" w:ascii="宋体" w:hAnsi="宋体"/>
          <w:sz w:val="28"/>
          <w:szCs w:val="28"/>
        </w:rPr>
        <w:t>评选方法</w:t>
      </w:r>
      <w:bookmarkEnd w:id="619"/>
      <w:bookmarkEnd w:id="620"/>
      <w:bookmarkEnd w:id="621"/>
      <w:bookmarkEnd w:id="622"/>
      <w:bookmarkEnd w:id="623"/>
      <w:bookmarkEnd w:id="624"/>
    </w:p>
    <w:p>
      <w:pPr>
        <w:adjustRightInd w:val="0"/>
        <w:snapToGrid w:val="0"/>
        <w:spacing w:line="440" w:lineRule="exact"/>
        <w:ind w:firstLine="420" w:firstLineChars="200"/>
        <w:rPr>
          <w:rFonts w:ascii="宋体" w:hAnsi="宋体" w:cs="宋体"/>
          <w:szCs w:val="21"/>
        </w:rPr>
      </w:pPr>
      <w:r>
        <w:rPr>
          <w:rFonts w:hint="eastAsia" w:ascii="宋体" w:hAnsi="宋体" w:cs="宋体"/>
          <w:szCs w:val="21"/>
        </w:rPr>
        <w:t>本招标项目评选采用综合评估法。评选委员会根据规定的评分因素和评分标准进行评分，按照综合评分由高到低的顺序推荐中选候选人，但投标报价低于其成本的除外。</w:t>
      </w:r>
    </w:p>
    <w:p>
      <w:pPr>
        <w:pStyle w:val="35"/>
        <w:numPr>
          <w:ilvl w:val="0"/>
          <w:numId w:val="9"/>
        </w:numPr>
        <w:snapToGrid w:val="0"/>
        <w:spacing w:before="120" w:after="120" w:line="440" w:lineRule="exact"/>
        <w:ind w:left="0" w:firstLine="0"/>
        <w:jc w:val="left"/>
        <w:rPr>
          <w:rFonts w:ascii="宋体" w:hAnsi="宋体"/>
          <w:sz w:val="28"/>
          <w:szCs w:val="28"/>
        </w:rPr>
      </w:pPr>
      <w:bookmarkStart w:id="625" w:name="_Toc5313"/>
      <w:bookmarkStart w:id="626" w:name="_Toc3476"/>
      <w:bookmarkStart w:id="627" w:name="_Toc12017948"/>
      <w:bookmarkStart w:id="628" w:name="_Toc12174"/>
      <w:bookmarkStart w:id="629" w:name="_Toc450489349"/>
      <w:bookmarkStart w:id="630" w:name="_Toc13061"/>
      <w:r>
        <w:rPr>
          <w:rFonts w:hint="eastAsia" w:ascii="宋体" w:hAnsi="宋体"/>
          <w:sz w:val="28"/>
          <w:szCs w:val="28"/>
        </w:rPr>
        <w:t>评选程序</w:t>
      </w:r>
      <w:bookmarkEnd w:id="625"/>
      <w:bookmarkEnd w:id="626"/>
      <w:bookmarkEnd w:id="627"/>
      <w:bookmarkEnd w:id="628"/>
      <w:bookmarkEnd w:id="629"/>
      <w:bookmarkEnd w:id="630"/>
    </w:p>
    <w:p>
      <w:pPr>
        <w:pStyle w:val="35"/>
        <w:tabs>
          <w:tab w:val="left" w:pos="588"/>
        </w:tabs>
        <w:snapToGrid w:val="0"/>
        <w:spacing w:before="120" w:after="120" w:line="440" w:lineRule="exact"/>
        <w:jc w:val="left"/>
        <w:rPr>
          <w:rFonts w:ascii="宋体" w:hAnsi="宋体"/>
          <w:sz w:val="24"/>
          <w:szCs w:val="24"/>
        </w:rPr>
      </w:pPr>
      <w:bookmarkStart w:id="631" w:name="_Toc450489351"/>
      <w:bookmarkStart w:id="632" w:name="_Toc26595"/>
      <w:bookmarkStart w:id="633" w:name="_Toc12536"/>
      <w:bookmarkStart w:id="634" w:name="_Toc12017949"/>
      <w:bookmarkStart w:id="635" w:name="_Toc4889"/>
      <w:bookmarkStart w:id="636" w:name="_Toc31929"/>
      <w:r>
        <w:rPr>
          <w:rFonts w:hint="eastAsia" w:ascii="宋体" w:hAnsi="宋体"/>
          <w:sz w:val="24"/>
          <w:szCs w:val="24"/>
        </w:rPr>
        <w:t>2.1详细评审</w:t>
      </w:r>
      <w:bookmarkEnd w:id="631"/>
      <w:bookmarkEnd w:id="632"/>
      <w:bookmarkEnd w:id="633"/>
      <w:bookmarkEnd w:id="634"/>
      <w:bookmarkEnd w:id="635"/>
      <w:bookmarkEnd w:id="636"/>
    </w:p>
    <w:p>
      <w:pPr>
        <w:pStyle w:val="21"/>
        <w:tabs>
          <w:tab w:val="left" w:pos="630"/>
        </w:tabs>
        <w:snapToGrid w:val="0"/>
        <w:spacing w:line="440" w:lineRule="exact"/>
        <w:ind w:firstLine="424" w:firstLineChars="202"/>
        <w:rPr>
          <w:rFonts w:hAnsi="宋体"/>
        </w:rPr>
      </w:pPr>
      <w:r>
        <w:rPr>
          <w:rFonts w:hint="eastAsia" w:hAnsi="宋体"/>
        </w:rPr>
        <w:t>2</w:t>
      </w:r>
      <w:r>
        <w:rPr>
          <w:rFonts w:hAnsi="宋体"/>
        </w:rPr>
        <w:t>.</w:t>
      </w:r>
      <w:r>
        <w:rPr>
          <w:rFonts w:hint="eastAsia" w:hAnsi="宋体"/>
        </w:rPr>
        <w:t>1</w:t>
      </w:r>
      <w:r>
        <w:rPr>
          <w:rFonts w:hAnsi="宋体"/>
        </w:rPr>
        <w:t>.1</w:t>
      </w:r>
      <w:r>
        <w:rPr>
          <w:rFonts w:hint="eastAsia" w:hAnsi="宋体"/>
        </w:rPr>
        <w:t>评选委员会按照规定的评审因素和量化标准进行评分，并计算出综合评估得分。</w:t>
      </w:r>
    </w:p>
    <w:p>
      <w:pPr>
        <w:pStyle w:val="21"/>
        <w:tabs>
          <w:tab w:val="left" w:pos="630"/>
        </w:tabs>
        <w:snapToGrid w:val="0"/>
        <w:spacing w:line="440" w:lineRule="exact"/>
        <w:ind w:firstLine="424" w:firstLineChars="202"/>
        <w:rPr>
          <w:rFonts w:hAnsi="宋体"/>
        </w:rPr>
      </w:pPr>
      <w:r>
        <w:rPr>
          <w:rFonts w:hint="eastAsia" w:hAnsi="宋体"/>
        </w:rPr>
        <w:t>2.1.2评分分值计算原则上保留小数点后两位，小数点后第三位“四舍五入”。另有规定的，见评选办法前附表。</w:t>
      </w:r>
    </w:p>
    <w:p>
      <w:pPr>
        <w:pStyle w:val="35"/>
        <w:tabs>
          <w:tab w:val="left" w:pos="588"/>
        </w:tabs>
        <w:snapToGrid w:val="0"/>
        <w:spacing w:before="120" w:after="120" w:line="440" w:lineRule="exact"/>
        <w:jc w:val="left"/>
        <w:rPr>
          <w:rFonts w:ascii="宋体" w:hAnsi="宋体"/>
          <w:sz w:val="24"/>
          <w:szCs w:val="24"/>
        </w:rPr>
      </w:pPr>
      <w:bookmarkStart w:id="637" w:name="_Toc450489353"/>
      <w:bookmarkStart w:id="638" w:name="_Toc8021"/>
      <w:bookmarkStart w:id="639" w:name="_Toc25796"/>
      <w:bookmarkStart w:id="640" w:name="_Toc12017950"/>
      <w:bookmarkStart w:id="641" w:name="_Toc4226"/>
      <w:bookmarkStart w:id="642" w:name="_Toc6924"/>
      <w:r>
        <w:rPr>
          <w:rFonts w:hint="eastAsia" w:ascii="宋体" w:hAnsi="宋体"/>
          <w:sz w:val="24"/>
          <w:szCs w:val="24"/>
        </w:rPr>
        <w:t>2</w:t>
      </w:r>
      <w:r>
        <w:rPr>
          <w:rFonts w:ascii="宋体" w:hAnsi="宋体"/>
          <w:sz w:val="24"/>
          <w:szCs w:val="24"/>
        </w:rPr>
        <w:t>.</w:t>
      </w:r>
      <w:r>
        <w:rPr>
          <w:rFonts w:hint="eastAsia" w:ascii="宋体" w:hAnsi="宋体"/>
          <w:sz w:val="24"/>
          <w:szCs w:val="24"/>
        </w:rPr>
        <w:t>2中选候选人推荐原则</w:t>
      </w:r>
      <w:bookmarkEnd w:id="637"/>
      <w:bookmarkEnd w:id="638"/>
      <w:bookmarkEnd w:id="639"/>
      <w:bookmarkEnd w:id="640"/>
      <w:bookmarkEnd w:id="641"/>
      <w:bookmarkEnd w:id="642"/>
    </w:p>
    <w:p>
      <w:pPr>
        <w:pStyle w:val="21"/>
        <w:tabs>
          <w:tab w:val="left" w:pos="630"/>
        </w:tabs>
        <w:snapToGrid w:val="0"/>
        <w:spacing w:line="440" w:lineRule="exact"/>
        <w:ind w:firstLine="424" w:firstLineChars="202"/>
        <w:rPr>
          <w:rFonts w:hAnsi="宋体"/>
        </w:rPr>
      </w:pPr>
      <w:r>
        <w:rPr>
          <w:rFonts w:hint="eastAsia" w:hAnsi="宋体"/>
        </w:rPr>
        <w:t>2.2.1评选委员会按照综合评分由高到低的顺序推荐中选候选人。综合评分相同的，处理原则见评选办法前附表。</w:t>
      </w:r>
    </w:p>
    <w:p>
      <w:pPr>
        <w:pStyle w:val="21"/>
        <w:tabs>
          <w:tab w:val="left" w:pos="630"/>
        </w:tabs>
        <w:snapToGrid w:val="0"/>
        <w:spacing w:line="440" w:lineRule="exact"/>
        <w:ind w:firstLine="424" w:firstLineChars="202"/>
        <w:rPr>
          <w:rFonts w:hAnsi="宋体"/>
        </w:rPr>
      </w:pPr>
      <w:r>
        <w:rPr>
          <w:rFonts w:hint="eastAsia" w:hAnsi="宋体"/>
        </w:rPr>
        <w:t>2.2.2中选候选人推荐原则见评选办法前附表。</w:t>
      </w:r>
    </w:p>
    <w:p>
      <w:pPr>
        <w:pStyle w:val="35"/>
        <w:tabs>
          <w:tab w:val="left" w:pos="588"/>
        </w:tabs>
        <w:snapToGrid w:val="0"/>
        <w:spacing w:before="120" w:after="120" w:line="440" w:lineRule="exact"/>
        <w:jc w:val="left"/>
        <w:rPr>
          <w:rFonts w:ascii="宋体" w:hAnsi="宋体"/>
          <w:sz w:val="24"/>
          <w:szCs w:val="24"/>
        </w:rPr>
      </w:pPr>
      <w:bookmarkStart w:id="643" w:name="_Toc2273"/>
      <w:bookmarkStart w:id="644" w:name="_Toc21388"/>
      <w:bookmarkStart w:id="645" w:name="_Toc450489354"/>
      <w:bookmarkStart w:id="646" w:name="_Toc32629"/>
      <w:bookmarkStart w:id="647" w:name="_Toc16185"/>
      <w:bookmarkStart w:id="648" w:name="_Toc12017951"/>
      <w:r>
        <w:rPr>
          <w:rFonts w:hint="eastAsia" w:ascii="宋体" w:hAnsi="宋体"/>
          <w:sz w:val="24"/>
          <w:szCs w:val="24"/>
        </w:rPr>
        <w:t>2</w:t>
      </w:r>
      <w:r>
        <w:rPr>
          <w:rFonts w:ascii="宋体" w:hAnsi="宋体"/>
          <w:sz w:val="24"/>
          <w:szCs w:val="24"/>
        </w:rPr>
        <w:t>.</w:t>
      </w:r>
      <w:r>
        <w:rPr>
          <w:rFonts w:hint="eastAsia" w:ascii="宋体" w:hAnsi="宋体"/>
          <w:sz w:val="24"/>
          <w:szCs w:val="24"/>
        </w:rPr>
        <w:t>3评选结果</w:t>
      </w:r>
      <w:bookmarkEnd w:id="643"/>
      <w:bookmarkEnd w:id="644"/>
      <w:bookmarkEnd w:id="645"/>
      <w:bookmarkEnd w:id="646"/>
      <w:bookmarkEnd w:id="647"/>
      <w:bookmarkEnd w:id="648"/>
    </w:p>
    <w:p>
      <w:pPr>
        <w:pStyle w:val="21"/>
        <w:tabs>
          <w:tab w:val="left" w:pos="630"/>
        </w:tabs>
        <w:snapToGrid w:val="0"/>
        <w:spacing w:line="440" w:lineRule="exact"/>
        <w:ind w:firstLine="424" w:firstLineChars="202"/>
        <w:rPr>
          <w:rFonts w:hAnsi="宋体"/>
        </w:rPr>
      </w:pPr>
      <w:r>
        <w:rPr>
          <w:rFonts w:hint="eastAsia" w:hAnsi="宋体"/>
        </w:rPr>
        <w:t>2.3.1评选委员会完成评选后，应当向招标人递交书面评选报告。评选委员会分组评审的，应当形成统一、完整的评选报告。</w:t>
      </w:r>
    </w:p>
    <w:p>
      <w:pPr>
        <w:pStyle w:val="21"/>
        <w:tabs>
          <w:tab w:val="left" w:pos="630"/>
        </w:tabs>
        <w:snapToGrid w:val="0"/>
        <w:spacing w:line="440" w:lineRule="exact"/>
        <w:ind w:firstLine="424" w:firstLineChars="202"/>
        <w:rPr>
          <w:rFonts w:hAnsi="宋体"/>
        </w:rPr>
      </w:pPr>
      <w:r>
        <w:rPr>
          <w:rFonts w:hint="eastAsia" w:hAnsi="宋体"/>
        </w:rPr>
        <w:t>2.3.2评选报告应当包括下列内容：</w:t>
      </w:r>
    </w:p>
    <w:p>
      <w:pPr>
        <w:pStyle w:val="47"/>
        <w:numPr>
          <w:ilvl w:val="0"/>
          <w:numId w:val="10"/>
        </w:numPr>
        <w:tabs>
          <w:tab w:val="left" w:pos="993"/>
        </w:tabs>
        <w:adjustRightInd w:val="0"/>
        <w:snapToGrid w:val="0"/>
        <w:spacing w:line="440" w:lineRule="exact"/>
        <w:ind w:left="0" w:firstLine="424" w:firstLineChars="202"/>
        <w:rPr>
          <w:rFonts w:ascii="宋体" w:hAnsi="宋体" w:cs="宋体"/>
          <w:szCs w:val="21"/>
        </w:rPr>
      </w:pPr>
      <w:r>
        <w:rPr>
          <w:rFonts w:hint="eastAsia" w:ascii="宋体" w:hAnsi="宋体" w:cs="宋体"/>
          <w:szCs w:val="21"/>
        </w:rPr>
        <w:t>评选概况（包括评选日程、评选方法和标准、评选委员会名单、唱价记录、投标一览表等评选基本情况）；</w:t>
      </w:r>
    </w:p>
    <w:p>
      <w:pPr>
        <w:pStyle w:val="47"/>
        <w:numPr>
          <w:ilvl w:val="0"/>
          <w:numId w:val="10"/>
        </w:numPr>
        <w:tabs>
          <w:tab w:val="left" w:pos="993"/>
        </w:tabs>
        <w:adjustRightInd w:val="0"/>
        <w:snapToGrid w:val="0"/>
        <w:spacing w:line="440" w:lineRule="exact"/>
        <w:ind w:left="0" w:firstLine="424" w:firstLineChars="202"/>
        <w:rPr>
          <w:rFonts w:ascii="宋体" w:hAnsi="宋体" w:cs="宋体"/>
          <w:szCs w:val="21"/>
        </w:rPr>
      </w:pPr>
      <w:r>
        <w:rPr>
          <w:rFonts w:hint="eastAsia" w:ascii="宋体" w:hAnsi="宋体" w:cs="宋体"/>
          <w:szCs w:val="21"/>
        </w:rPr>
        <w:t>评选专家评分原始记录表和否决投标的情况说明；</w:t>
      </w:r>
    </w:p>
    <w:p>
      <w:pPr>
        <w:pStyle w:val="47"/>
        <w:numPr>
          <w:ilvl w:val="0"/>
          <w:numId w:val="10"/>
        </w:numPr>
        <w:tabs>
          <w:tab w:val="left" w:pos="993"/>
        </w:tabs>
        <w:adjustRightInd w:val="0"/>
        <w:snapToGrid w:val="0"/>
        <w:spacing w:line="440" w:lineRule="exact"/>
        <w:ind w:left="0" w:firstLine="424" w:firstLineChars="202"/>
        <w:rPr>
          <w:rFonts w:ascii="宋体" w:hAnsi="宋体" w:cs="宋体"/>
          <w:szCs w:val="21"/>
        </w:rPr>
      </w:pPr>
      <w:r>
        <w:rPr>
          <w:rFonts w:hint="eastAsia" w:ascii="宋体" w:hAnsi="宋体" w:cs="宋体"/>
          <w:szCs w:val="21"/>
        </w:rPr>
        <w:t>投标人的排名顺序及推荐的中选候选人；</w:t>
      </w:r>
    </w:p>
    <w:p>
      <w:pPr>
        <w:pStyle w:val="47"/>
        <w:numPr>
          <w:ilvl w:val="0"/>
          <w:numId w:val="10"/>
        </w:numPr>
        <w:tabs>
          <w:tab w:val="left" w:pos="993"/>
        </w:tabs>
        <w:adjustRightInd w:val="0"/>
        <w:snapToGrid w:val="0"/>
        <w:spacing w:line="440" w:lineRule="exact"/>
        <w:ind w:left="0" w:firstLine="424" w:firstLineChars="202"/>
        <w:rPr>
          <w:rFonts w:ascii="宋体" w:hAnsi="宋体" w:cs="宋体"/>
          <w:szCs w:val="21"/>
        </w:rPr>
      </w:pPr>
      <w:r>
        <w:rPr>
          <w:rFonts w:hint="eastAsia" w:ascii="宋体" w:hAnsi="宋体" w:cs="宋体"/>
          <w:szCs w:val="21"/>
        </w:rPr>
        <w:t>签订合同前要处理的事宜；</w:t>
      </w:r>
    </w:p>
    <w:p>
      <w:pPr>
        <w:pStyle w:val="47"/>
        <w:numPr>
          <w:ilvl w:val="0"/>
          <w:numId w:val="10"/>
        </w:numPr>
        <w:tabs>
          <w:tab w:val="left" w:pos="993"/>
        </w:tabs>
        <w:adjustRightInd w:val="0"/>
        <w:snapToGrid w:val="0"/>
        <w:spacing w:line="440" w:lineRule="exact"/>
        <w:ind w:left="0" w:firstLine="424" w:firstLineChars="202"/>
        <w:rPr>
          <w:rFonts w:ascii="宋体" w:hAnsi="宋体" w:cs="宋体"/>
          <w:szCs w:val="21"/>
        </w:rPr>
      </w:pPr>
      <w:r>
        <w:rPr>
          <w:rFonts w:hint="eastAsia" w:ascii="宋体" w:hAnsi="宋体" w:cs="宋体"/>
          <w:szCs w:val="21"/>
        </w:rPr>
        <w:t>其他重要情况说明（澄清、说明、否决投标的情况、补正事项纪要）；</w:t>
      </w:r>
    </w:p>
    <w:p>
      <w:pPr>
        <w:pStyle w:val="47"/>
        <w:numPr>
          <w:ilvl w:val="0"/>
          <w:numId w:val="10"/>
        </w:numPr>
        <w:tabs>
          <w:tab w:val="left" w:pos="993"/>
        </w:tabs>
        <w:adjustRightInd w:val="0"/>
        <w:snapToGrid w:val="0"/>
        <w:spacing w:line="440" w:lineRule="exact"/>
        <w:ind w:left="0" w:firstLine="424" w:firstLineChars="202"/>
        <w:rPr>
          <w:rFonts w:ascii="宋体" w:hAnsi="宋体" w:cs="宋体"/>
          <w:szCs w:val="21"/>
        </w:rPr>
        <w:sectPr>
          <w:pgSz w:w="11906" w:h="16838"/>
          <w:pgMar w:top="1440" w:right="1800" w:bottom="1440" w:left="1800" w:header="851" w:footer="992" w:gutter="0"/>
          <w:cols w:space="425" w:num="1"/>
          <w:docGrid w:type="lines" w:linePitch="312" w:charSpace="0"/>
        </w:sectPr>
      </w:pPr>
      <w:r>
        <w:rPr>
          <w:rFonts w:hint="eastAsia" w:ascii="宋体" w:hAnsi="宋体" w:cs="宋体"/>
          <w:szCs w:val="21"/>
        </w:rPr>
        <w:t xml:space="preserve">评选委员会成员名单及本人签字、拒绝在评选报告上签字的评选委员会成员名单及其陈述的不同意见和理由。 </w:t>
      </w:r>
    </w:p>
    <w:bookmarkEnd w:id="614"/>
    <w:bookmarkEnd w:id="615"/>
    <w:bookmarkEnd w:id="616"/>
    <w:bookmarkEnd w:id="617"/>
    <w:bookmarkEnd w:id="618"/>
    <w:p>
      <w:pPr>
        <w:pStyle w:val="46"/>
        <w:spacing w:before="240" w:after="120"/>
        <w:rPr>
          <w:rFonts w:ascii="宋体" w:hAnsi="宋体" w:eastAsia="宋体" w:cs="宋体"/>
          <w:b/>
          <w:bCs w:val="0"/>
          <w:kern w:val="0"/>
          <w:sz w:val="28"/>
          <w:szCs w:val="28"/>
        </w:rPr>
      </w:pPr>
      <w:bookmarkStart w:id="649" w:name="_Toc475472623"/>
      <w:bookmarkStart w:id="650" w:name="_Toc12017952"/>
      <w:bookmarkStart w:id="651" w:name="_Toc226969353"/>
      <w:bookmarkStart w:id="652" w:name="_Toc227057959"/>
      <w:bookmarkStart w:id="653" w:name="_Toc107822570"/>
      <w:bookmarkStart w:id="654" w:name="_Toc447265599"/>
      <w:bookmarkStart w:id="655" w:name="_Toc447265313"/>
      <w:r>
        <w:rPr>
          <w:rFonts w:hint="eastAsia" w:ascii="宋体" w:hAnsi="宋体" w:eastAsia="宋体" w:cs="宋体"/>
          <w:b/>
          <w:bCs w:val="0"/>
          <w:kern w:val="0"/>
          <w:sz w:val="28"/>
          <w:szCs w:val="28"/>
        </w:rPr>
        <w:t>第四章【</w:t>
      </w:r>
      <w:bookmarkEnd w:id="649"/>
      <w:r>
        <w:rPr>
          <w:rFonts w:hint="eastAsia" w:ascii="宋体" w:hAnsi="宋体" w:eastAsia="宋体" w:cs="宋体"/>
          <w:b/>
          <w:bCs w:val="0"/>
          <w:kern w:val="0"/>
          <w:sz w:val="28"/>
          <w:szCs w:val="28"/>
        </w:rPr>
        <w:t>合同签订与验收付款】</w:t>
      </w:r>
      <w:bookmarkEnd w:id="650"/>
    </w:p>
    <w:p>
      <w:pPr>
        <w:pStyle w:val="46"/>
        <w:spacing w:before="240" w:after="120"/>
        <w:jc w:val="left"/>
        <w:rPr>
          <w:rFonts w:ascii="宋体" w:hAnsi="宋体" w:eastAsia="宋体" w:cs="宋体"/>
          <w:b/>
          <w:bCs w:val="0"/>
          <w:kern w:val="0"/>
          <w:sz w:val="28"/>
          <w:szCs w:val="28"/>
        </w:rPr>
      </w:pPr>
      <w:bookmarkStart w:id="656" w:name="_Toc12017953"/>
      <w:r>
        <w:rPr>
          <w:rFonts w:hint="eastAsia" w:ascii="宋体" w:hAnsi="宋体" w:eastAsia="宋体" w:cs="宋体"/>
          <w:b/>
          <w:bCs w:val="0"/>
          <w:kern w:val="0"/>
          <w:sz w:val="28"/>
          <w:szCs w:val="28"/>
        </w:rPr>
        <w:t>付款方式</w:t>
      </w:r>
      <w:bookmarkEnd w:id="656"/>
    </w:p>
    <w:bookmarkEnd w:id="651"/>
    <w:bookmarkEnd w:id="652"/>
    <w:bookmarkEnd w:id="653"/>
    <w:bookmarkEnd w:id="654"/>
    <w:bookmarkEnd w:id="655"/>
    <w:p>
      <w:pPr>
        <w:widowControl/>
        <w:tabs>
          <w:tab w:val="left" w:pos="540"/>
        </w:tabs>
        <w:snapToGrid w:val="0"/>
        <w:spacing w:line="400" w:lineRule="exact"/>
        <w:contextualSpacing/>
        <w:rPr>
          <w:rFonts w:ascii="宋体" w:hAnsi="宋体"/>
          <w:sz w:val="28"/>
          <w:szCs w:val="28"/>
        </w:rPr>
      </w:pPr>
      <w:bookmarkStart w:id="657" w:name="_Toc29338"/>
      <w:bookmarkStart w:id="658" w:name="_Toc475472662"/>
      <w:bookmarkStart w:id="659" w:name="_Toc447265316"/>
      <w:bookmarkStart w:id="660" w:name="_Toc475472669"/>
      <w:bookmarkStart w:id="661" w:name="_Toc447265602"/>
      <w:r>
        <w:rPr>
          <w:rFonts w:hint="eastAsia" w:ascii="宋体" w:hAnsi="宋体" w:cs="宋体"/>
          <w:szCs w:val="21"/>
        </w:rPr>
        <w:t>1、完成50%的工程量，支付合同总额的30％；2、竣工验收合格后，支付至合同总额的70%；3、经审计结算后，支付至审计后应付总金额的100%。每笔款项支付时，乙方同时向甲方提供相应金额的正式发票（含货物款发票、货物安装费发票及有关服务发票）。</w:t>
      </w:r>
    </w:p>
    <w:p>
      <w:pPr>
        <w:rPr>
          <w:rFonts w:hint="eastAsia" w:ascii="宋体" w:hAnsi="宋体" w:cs="宋体"/>
          <w:b/>
          <w:kern w:val="0"/>
          <w:szCs w:val="28"/>
        </w:rPr>
      </w:pPr>
      <w:r>
        <w:rPr>
          <w:rFonts w:hint="eastAsia" w:ascii="宋体" w:hAnsi="宋体" w:cs="宋体"/>
          <w:b/>
          <w:kern w:val="0"/>
          <w:szCs w:val="28"/>
        </w:rPr>
        <w:br w:type="page"/>
      </w:r>
      <w:bookmarkEnd w:id="657"/>
    </w:p>
    <w:p>
      <w:pPr>
        <w:bidi w:val="0"/>
        <w:jc w:val="left"/>
        <w:rPr>
          <w:rFonts w:hint="eastAsia" w:ascii="Times New Roman" w:hAnsi="Times New Roman" w:eastAsia="宋体" w:cs="Times New Roman"/>
          <w:kern w:val="2"/>
          <w:sz w:val="21"/>
          <w:szCs w:val="24"/>
          <w:lang w:val="en-US" w:eastAsia="zh-CN" w:bidi="ar-SA"/>
        </w:rPr>
      </w:pPr>
    </w:p>
    <w:p>
      <w:pPr>
        <w:pStyle w:val="46"/>
        <w:spacing w:before="240" w:after="120"/>
        <w:rPr>
          <w:rFonts w:ascii="宋体" w:hAnsi="宋体" w:eastAsia="宋体" w:cs="宋体"/>
          <w:b/>
          <w:bCs w:val="0"/>
          <w:kern w:val="0"/>
          <w:sz w:val="28"/>
          <w:szCs w:val="28"/>
        </w:rPr>
      </w:pPr>
      <w:bookmarkStart w:id="662" w:name="_Toc12017954"/>
      <w:r>
        <w:rPr>
          <w:rFonts w:hint="eastAsia" w:ascii="宋体" w:hAnsi="宋体" w:eastAsia="宋体" w:cs="宋体"/>
          <w:b/>
          <w:bCs w:val="0"/>
          <w:kern w:val="0"/>
          <w:sz w:val="28"/>
          <w:szCs w:val="28"/>
        </w:rPr>
        <w:t>第五章【技术标准和要求</w:t>
      </w:r>
      <w:bookmarkEnd w:id="658"/>
      <w:r>
        <w:rPr>
          <w:rFonts w:hint="eastAsia" w:ascii="宋体" w:hAnsi="宋体" w:eastAsia="宋体" w:cs="宋体"/>
          <w:b/>
          <w:bCs w:val="0"/>
          <w:kern w:val="0"/>
          <w:sz w:val="28"/>
          <w:szCs w:val="28"/>
        </w:rPr>
        <w:t>及产品内容】</w:t>
      </w:r>
      <w:bookmarkEnd w:id="662"/>
    </w:p>
    <w:p>
      <w:pPr>
        <w:pStyle w:val="93"/>
        <w:outlineLvl w:val="9"/>
        <w:rPr>
          <w:rFonts w:cs="仿宋_GB2312" w:asciiTheme="majorEastAsia" w:hAnsiTheme="majorEastAsia" w:eastAsiaTheme="majorEastAsia"/>
          <w:b/>
          <w:bCs/>
          <w:sz w:val="21"/>
          <w:szCs w:val="21"/>
        </w:rPr>
      </w:pPr>
      <w:bookmarkStart w:id="663" w:name="_Toc12017955"/>
      <w:r>
        <w:rPr>
          <w:rFonts w:hint="eastAsia" w:cs="仿宋_GB2312" w:asciiTheme="majorEastAsia" w:hAnsiTheme="majorEastAsia" w:eastAsiaTheme="majorEastAsia"/>
          <w:b/>
          <w:bCs/>
          <w:sz w:val="21"/>
          <w:szCs w:val="21"/>
        </w:rPr>
        <w:t>1、IP网络核心广播主机</w:t>
      </w:r>
      <w:bookmarkEnd w:id="663"/>
    </w:p>
    <w:tbl>
      <w:tblPr>
        <w:tblStyle w:val="39"/>
        <w:tblW w:w="8466" w:type="dxa"/>
        <w:tblInd w:w="0" w:type="dxa"/>
        <w:tblLayout w:type="fixed"/>
        <w:tblCellMar>
          <w:top w:w="0" w:type="dxa"/>
          <w:left w:w="108" w:type="dxa"/>
          <w:bottom w:w="0" w:type="dxa"/>
          <w:right w:w="108" w:type="dxa"/>
        </w:tblCellMar>
      </w:tblPr>
      <w:tblGrid>
        <w:gridCol w:w="775"/>
        <w:gridCol w:w="1380"/>
        <w:gridCol w:w="6311"/>
      </w:tblGrid>
      <w:tr>
        <w:tblPrEx>
          <w:tblLayout w:type="fixed"/>
          <w:tblCellMar>
            <w:top w:w="0" w:type="dxa"/>
            <w:left w:w="108" w:type="dxa"/>
            <w:bottom w:w="0" w:type="dxa"/>
            <w:right w:w="108" w:type="dxa"/>
          </w:tblCellMar>
        </w:tblPrEx>
        <w:trPr>
          <w:trHeight w:val="499" w:hRule="atLeast"/>
        </w:trPr>
        <w:tc>
          <w:tcPr>
            <w:tcW w:w="775" w:type="dxa"/>
            <w:tcBorders>
              <w:top w:val="single" w:color="auto" w:sz="4" w:space="0"/>
              <w:left w:val="single" w:color="auto" w:sz="4" w:space="0"/>
              <w:bottom w:val="single" w:color="auto" w:sz="4" w:space="0"/>
              <w:right w:val="single" w:color="auto" w:sz="4" w:space="0"/>
            </w:tcBorders>
            <w:noWrap/>
            <w:vAlign w:val="center"/>
          </w:tcPr>
          <w:p>
            <w:pPr>
              <w:widowControl/>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序号</w:t>
            </w:r>
          </w:p>
        </w:tc>
        <w:tc>
          <w:tcPr>
            <w:tcW w:w="1380" w:type="dxa"/>
            <w:tcBorders>
              <w:top w:val="single" w:color="auto" w:sz="4" w:space="0"/>
              <w:left w:val="nil"/>
              <w:bottom w:val="single" w:color="auto" w:sz="4" w:space="0"/>
              <w:right w:val="single" w:color="auto" w:sz="4" w:space="0"/>
            </w:tcBorders>
            <w:noWrap/>
            <w:vAlign w:val="center"/>
          </w:tcPr>
          <w:p>
            <w:pPr>
              <w:widowControl/>
              <w:jc w:val="center"/>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设备名称</w:t>
            </w:r>
          </w:p>
        </w:tc>
        <w:tc>
          <w:tcPr>
            <w:tcW w:w="6311" w:type="dxa"/>
            <w:tcBorders>
              <w:top w:val="single" w:color="auto" w:sz="4" w:space="0"/>
              <w:left w:val="nil"/>
              <w:bottom w:val="single" w:color="auto" w:sz="4" w:space="0"/>
              <w:right w:val="single" w:color="auto" w:sz="4" w:space="0"/>
            </w:tcBorders>
            <w:noWrap/>
            <w:vAlign w:val="center"/>
          </w:tcPr>
          <w:p>
            <w:pPr>
              <w:widowControl/>
              <w:jc w:val="center"/>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招标技术参数</w:t>
            </w:r>
          </w:p>
        </w:tc>
      </w:tr>
      <w:tr>
        <w:tblPrEx>
          <w:tblLayout w:type="fixed"/>
          <w:tblCellMar>
            <w:top w:w="0" w:type="dxa"/>
            <w:left w:w="108" w:type="dxa"/>
            <w:bottom w:w="0" w:type="dxa"/>
            <w:right w:w="108" w:type="dxa"/>
          </w:tblCellMar>
        </w:tblPrEx>
        <w:trPr>
          <w:trHeight w:val="410" w:hRule="atLeast"/>
        </w:trPr>
        <w:tc>
          <w:tcPr>
            <w:tcW w:w="77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1</w:t>
            </w:r>
          </w:p>
        </w:tc>
        <w:tc>
          <w:tcPr>
            <w:tcW w:w="1380" w:type="dxa"/>
            <w:tcBorders>
              <w:top w:val="nil"/>
              <w:left w:val="nil"/>
              <w:bottom w:val="single" w:color="auto" w:sz="4" w:space="0"/>
              <w:right w:val="single" w:color="auto" w:sz="4" w:space="0"/>
            </w:tcBorders>
            <w:shd w:val="clear" w:color="000000" w:fill="FFFFFF"/>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IP网络核心广播主机</w:t>
            </w:r>
          </w:p>
        </w:tc>
        <w:tc>
          <w:tcPr>
            <w:tcW w:w="6311" w:type="dxa"/>
            <w:tcBorders>
              <w:top w:val="nil"/>
              <w:left w:val="nil"/>
              <w:bottom w:val="single" w:color="auto" w:sz="4" w:space="0"/>
              <w:right w:val="single" w:color="auto" w:sz="4" w:space="0"/>
            </w:tcBorders>
            <w:shd w:val="clear" w:color="000000" w:fill="FFFFFF"/>
            <w:vAlign w:val="center"/>
          </w:tcPr>
          <w:p>
            <w:pPr>
              <w:widowControl/>
              <w:jc w:val="lef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★≥17寸触摸屏（需提供彩页盖公章）；带有红色报警键和挂式紧急话筒，一键触发全区告警寻呼和手动告警寻呼功能；（提供设备高清正面图，并加盖厂家公章）</w:t>
            </w:r>
            <w:r>
              <w:rPr>
                <w:rFonts w:hint="eastAsia" w:cs="宋体" w:asciiTheme="majorEastAsia" w:hAnsiTheme="majorEastAsia" w:eastAsiaTheme="majorEastAsia"/>
                <w:color w:val="000000"/>
                <w:kern w:val="0"/>
                <w:szCs w:val="21"/>
              </w:rPr>
              <w:br w:type="textWrapping"/>
            </w:r>
            <w:r>
              <w:rPr>
                <w:rFonts w:hint="eastAsia" w:cs="宋体" w:asciiTheme="majorEastAsia" w:hAnsiTheme="majorEastAsia" w:eastAsiaTheme="majorEastAsia"/>
                <w:color w:val="000000"/>
                <w:kern w:val="0"/>
                <w:szCs w:val="21"/>
              </w:rPr>
              <w:t>自带4通道智能输出三眼电源插口，具有程控、手动控制功能。（提供设备高清背面图，并加盖厂家公章）高档工业服务器主板设计，★双网络冗余备份（提供所投产品官方查询结果或产品宣传彩页）；</w:t>
            </w:r>
          </w:p>
          <w:p>
            <w:pPr>
              <w:widowControl/>
              <w:jc w:val="lef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可连接最多达800个不同类型终端（要求提供检测报告，原件备查）采用工业级固态硬盘+机械硬盘方式，启动速度更快；硬盘 ：500G，内置大容量SSD固态硬盘：128G；支持硬盘插卡式无限扩展；</w:t>
            </w:r>
          </w:p>
          <w:p>
            <w:pPr>
              <w:widowControl/>
              <w:jc w:val="lef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内存：RAM，4G；主板： Intel NM10芯片组，X86架构；CPU ：双核四线程，主频：2.20GHz；屏幕颜色： TFT262144色真彩色；</w:t>
            </w:r>
          </w:p>
          <w:p>
            <w:pPr>
              <w:widowControl/>
              <w:jc w:val="lef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操控方式 ：1920 x 1080分辨率；液晶电阻式(五线)触摸屏；主机自带有≥4个独立的音频输入通道，≥1个辅助混合音频输入通；</w:t>
            </w:r>
            <w:r>
              <w:rPr>
                <w:rFonts w:hint="eastAsia" w:cs="宋体" w:asciiTheme="majorEastAsia" w:hAnsiTheme="majorEastAsia" w:eastAsiaTheme="majorEastAsia"/>
                <w:color w:val="000000"/>
                <w:kern w:val="0"/>
                <w:szCs w:val="21"/>
              </w:rPr>
              <w:br w:type="textWrapping"/>
            </w:r>
            <w:r>
              <w:rPr>
                <w:rFonts w:hint="eastAsia" w:cs="宋体" w:asciiTheme="majorEastAsia" w:hAnsiTheme="majorEastAsia" w:eastAsiaTheme="majorEastAsia"/>
                <w:color w:val="000000"/>
                <w:kern w:val="0"/>
                <w:szCs w:val="21"/>
              </w:rPr>
              <w:t>主机采用模块化设计，可安装网络扩展模块，功能定制更灵活，维护更方便（提供所投产品官方查询结果或产品宣传彩页）；主机具有12个扩展卡位，所有功能模块化实现（避免主机整机瘫痪的可能性，同时方便更换功能及扩展，专家组认为必要时，请提供样品演示），可拓展三十二路消防联动网络模块、音频采集模块电话寻呼模块等工作环境：环境温度：5-35ºC; 相对湿度：≤75%; 气压：86-106kpa</w:t>
            </w:r>
          </w:p>
          <w:p>
            <w:pPr>
              <w:widowControl/>
              <w:jc w:val="lef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定时电源带载能力：单通道电流：2A系统音频信号信噪比：LINE: &gt;70dB;  MIC: &gt;60dB</w:t>
            </w:r>
          </w:p>
          <w:p>
            <w:pPr>
              <w:widowControl/>
              <w:jc w:val="lef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系统音频信号失真度：1kHz&lt;0.5%系统音频信号标准输入电平：LINE : 300mV;  MIC : 50mV</w:t>
            </w:r>
          </w:p>
          <w:p>
            <w:pPr>
              <w:widowControl/>
              <w:jc w:val="lef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系统音频信号标准输出电平：0dBV功率输出方式：定阻输出，不失真输出功率：≥10W（提供所投产品官方查询结果或产品宣传彩页）</w:t>
            </w:r>
          </w:p>
          <w:p>
            <w:pPr>
              <w:widowControl/>
              <w:jc w:val="lef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分区监听功能，对分区终端的播放状态和音量大小均可实时监控操作（要求提供检测报告，原件备查）；具有录音功能，用户可以自己制作节目源，可以通过本机录制，也可从远程控制电脑上复制（需提供彩页盖公章）；具有业务、紧急外接话筒输入，分别具有5mV与3mV两个不同电平灵敏度的接口，可外扩无线话筒。具有手持式紧急话筒，并具有业务、紧急告警自动切换功能，当紧急告警时，话筒具有智能电平EMC优先级。内置CD播放器（要求提供检测报告，原件备查以及产品宣传彩页），自创的CD播放器控制界面；可利用网络音频采集终端来扩展音频输入通道,可无限扩展外接输入节目源；</w:t>
            </w:r>
          </w:p>
          <w:p>
            <w:pPr>
              <w:widowControl/>
              <w:jc w:val="lef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可定时编程播放节目，系统按预先编制的程序运行，可无人值守。可以每天手动或定时播放各种音源类型的作息铃声。不同分区可单独定时还可在同一时刻播放不同的节目和不同的分区音量。</w:t>
            </w:r>
          </w:p>
          <w:p>
            <w:pPr>
              <w:widowControl/>
              <w:jc w:val="lef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终端播放节目：可以由主机逐一给各分区分配播放音源，也可由终端独自点播主机上的节目音源。备有消防中心接口，告警自动强插，同时支持短路告警（警报卡）和网络信号告警。终端断线后自动恢复断线前的播放节目。支持终端定时点备份功能，定时点的内容能自动备份到网络播放终端上。</w:t>
            </w:r>
          </w:p>
          <w:p>
            <w:pPr>
              <w:widowControl/>
              <w:jc w:val="lef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具有多级音源优先管理功能，默认为7级优先等级。用DSPPA网络自主研发的网络传输协议，中、英文多种语言切换功能，支持跨网段传输，并设定网络传输格式；</w:t>
            </w:r>
            <w:r>
              <w:rPr>
                <w:rFonts w:hint="eastAsia" w:cs="宋体" w:asciiTheme="majorEastAsia" w:hAnsiTheme="majorEastAsia" w:eastAsiaTheme="majorEastAsia"/>
                <w:color w:val="000000"/>
                <w:kern w:val="0"/>
                <w:szCs w:val="21"/>
              </w:rPr>
              <w:br w:type="textWrapping"/>
            </w:r>
            <w:r>
              <w:rPr>
                <w:rFonts w:hint="eastAsia" w:cs="宋体" w:asciiTheme="majorEastAsia" w:hAnsiTheme="majorEastAsia" w:eastAsiaTheme="majorEastAsia"/>
                <w:color w:val="000000"/>
                <w:kern w:val="0"/>
                <w:szCs w:val="21"/>
              </w:rPr>
              <w:t>★需提供国家强制3C认证证书盖章扫描件（签订合同后三日内原件备查），http://www.cqc.com.cn备查。提供中国人民共和国国家版权局颁发的公共广播系统全局控制软件著作权扫描件（签订合同后三日内原件备查），http://www.ccopyright.com.cn备查。</w:t>
            </w:r>
          </w:p>
          <w:p>
            <w:pPr>
              <w:widowControl/>
              <w:jc w:val="lef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★采用钥匙开关，确保系统更安全和稳定（需提供彩页盖公章）；</w:t>
            </w:r>
          </w:p>
          <w:p>
            <w:pPr>
              <w:widowControl/>
              <w:jc w:val="lef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★系统获得DSP数字矩阵公共广播系统高新技术产品证书扫描件。（签订合同后三日内原件备查）</w:t>
            </w:r>
          </w:p>
          <w:p>
            <w:pPr>
              <w:widowControl/>
              <w:jc w:val="lef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★公共广播系统厂家获得中华人民共和国国家知识产权局颁布的一种网络音频传输方法证书产品</w:t>
            </w:r>
          </w:p>
          <w:p>
            <w:pPr>
              <w:widowControl/>
              <w:jc w:val="left"/>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★为保证广播系统时间的准确稳定，广播系统提供“一种公共广播综合校时系统”实用新型证明文件（投标时提供认证证书复印件并加盖公章）；</w:t>
            </w:r>
            <w:r>
              <w:rPr>
                <w:rFonts w:hint="eastAsia" w:cs="宋体" w:asciiTheme="majorEastAsia" w:hAnsiTheme="majorEastAsia" w:eastAsiaTheme="majorEastAsia"/>
                <w:color w:val="000000"/>
                <w:kern w:val="0"/>
                <w:szCs w:val="21"/>
              </w:rPr>
              <w:br w:type="textWrapping"/>
            </w:r>
            <w:r>
              <w:rPr>
                <w:rFonts w:hint="eastAsia" w:cs="宋体" w:asciiTheme="majorEastAsia" w:hAnsiTheme="majorEastAsia" w:eastAsiaTheme="majorEastAsia"/>
                <w:color w:val="000000"/>
                <w:kern w:val="0"/>
                <w:szCs w:val="21"/>
              </w:rPr>
              <w:t>★为保证系统质量稳定，生产厂家需提供CAQI全国音视频行业质量领军企业和全国音视频行业质量领先品牌认证证书</w:t>
            </w:r>
          </w:p>
        </w:tc>
      </w:tr>
    </w:tbl>
    <w:p>
      <w:pPr>
        <w:pStyle w:val="93"/>
        <w:outlineLvl w:val="9"/>
        <w:rPr>
          <w:rFonts w:cs="仿宋_GB2312" w:asciiTheme="majorEastAsia" w:hAnsiTheme="majorEastAsia" w:eastAsiaTheme="majorEastAsia"/>
          <w:b/>
          <w:bCs/>
          <w:sz w:val="21"/>
          <w:szCs w:val="21"/>
        </w:rPr>
      </w:pPr>
    </w:p>
    <w:p>
      <w:pPr>
        <w:pStyle w:val="93"/>
        <w:outlineLvl w:val="9"/>
        <w:rPr>
          <w:rFonts w:cs="仿宋_GB2312" w:asciiTheme="majorEastAsia" w:hAnsiTheme="majorEastAsia" w:eastAsiaTheme="majorEastAsia"/>
          <w:b/>
          <w:bCs/>
          <w:sz w:val="21"/>
          <w:szCs w:val="21"/>
        </w:rPr>
      </w:pPr>
    </w:p>
    <w:p>
      <w:pPr>
        <w:pStyle w:val="93"/>
        <w:outlineLvl w:val="9"/>
        <w:rPr>
          <w:rFonts w:cs="仿宋_GB2312" w:asciiTheme="majorEastAsia" w:hAnsiTheme="majorEastAsia" w:eastAsiaTheme="majorEastAsia"/>
          <w:b/>
          <w:bCs/>
          <w:sz w:val="21"/>
          <w:szCs w:val="21"/>
        </w:rPr>
      </w:pPr>
    </w:p>
    <w:p>
      <w:pPr>
        <w:pStyle w:val="93"/>
        <w:outlineLvl w:val="9"/>
        <w:rPr>
          <w:rFonts w:cs="仿宋_GB2312" w:asciiTheme="majorEastAsia" w:hAnsiTheme="majorEastAsia" w:eastAsiaTheme="majorEastAsia"/>
          <w:b/>
          <w:bCs/>
          <w:sz w:val="21"/>
          <w:szCs w:val="21"/>
        </w:rPr>
      </w:pPr>
    </w:p>
    <w:p>
      <w:pPr>
        <w:pStyle w:val="93"/>
        <w:outlineLvl w:val="9"/>
        <w:rPr>
          <w:rFonts w:cs="仿宋_GB2312" w:asciiTheme="majorEastAsia" w:hAnsiTheme="majorEastAsia" w:eastAsiaTheme="majorEastAsia"/>
          <w:b/>
          <w:bCs/>
          <w:sz w:val="21"/>
          <w:szCs w:val="21"/>
        </w:rPr>
      </w:pPr>
    </w:p>
    <w:p>
      <w:pPr>
        <w:pStyle w:val="93"/>
        <w:outlineLvl w:val="9"/>
        <w:rPr>
          <w:rFonts w:cs="仿宋_GB2312" w:asciiTheme="majorEastAsia" w:hAnsiTheme="majorEastAsia" w:eastAsiaTheme="majorEastAsia"/>
          <w:b/>
          <w:bCs/>
          <w:sz w:val="21"/>
          <w:szCs w:val="21"/>
        </w:rPr>
      </w:pPr>
    </w:p>
    <w:p>
      <w:pPr>
        <w:pStyle w:val="93"/>
        <w:outlineLvl w:val="9"/>
        <w:rPr>
          <w:rFonts w:cs="仿宋_GB2312" w:asciiTheme="majorEastAsia" w:hAnsiTheme="majorEastAsia" w:eastAsiaTheme="majorEastAsia"/>
          <w:b/>
          <w:bCs/>
          <w:sz w:val="21"/>
          <w:szCs w:val="21"/>
        </w:rPr>
      </w:pPr>
    </w:p>
    <w:p>
      <w:pPr>
        <w:pStyle w:val="93"/>
        <w:outlineLvl w:val="9"/>
        <w:rPr>
          <w:rFonts w:cs="仿宋_GB2312" w:asciiTheme="majorEastAsia" w:hAnsiTheme="majorEastAsia" w:eastAsiaTheme="majorEastAsia"/>
          <w:b/>
          <w:bCs/>
          <w:sz w:val="21"/>
          <w:szCs w:val="21"/>
        </w:rPr>
      </w:pPr>
    </w:p>
    <w:p>
      <w:pPr>
        <w:pStyle w:val="93"/>
        <w:outlineLvl w:val="9"/>
        <w:rPr>
          <w:rFonts w:cs="仿宋_GB2312" w:asciiTheme="majorEastAsia" w:hAnsiTheme="majorEastAsia" w:eastAsiaTheme="majorEastAsia"/>
          <w:b/>
          <w:bCs/>
          <w:sz w:val="21"/>
          <w:szCs w:val="21"/>
        </w:rPr>
      </w:pPr>
    </w:p>
    <w:p/>
    <w:p/>
    <w:p/>
    <w:p>
      <w:pPr>
        <w:pStyle w:val="93"/>
        <w:outlineLvl w:val="9"/>
        <w:rPr>
          <w:rFonts w:asciiTheme="majorEastAsia" w:hAnsiTheme="majorEastAsia" w:eastAsiaTheme="majorEastAsia"/>
          <w:sz w:val="21"/>
          <w:szCs w:val="21"/>
        </w:rPr>
      </w:pPr>
      <w:bookmarkStart w:id="664" w:name="_Toc12017956"/>
      <w:r>
        <w:rPr>
          <w:rFonts w:hint="eastAsia" w:cs="仿宋_GB2312" w:asciiTheme="majorEastAsia" w:hAnsiTheme="majorEastAsia" w:eastAsiaTheme="majorEastAsia"/>
          <w:b/>
          <w:bCs/>
          <w:sz w:val="21"/>
          <w:szCs w:val="21"/>
        </w:rPr>
        <w:t>2、智能检票通道闸机</w:t>
      </w:r>
      <w:bookmarkEnd w:id="664"/>
    </w:p>
    <w:tbl>
      <w:tblPr>
        <w:tblStyle w:val="39"/>
        <w:tblW w:w="8466" w:type="dxa"/>
        <w:tblInd w:w="0" w:type="dxa"/>
        <w:tblLayout w:type="fixed"/>
        <w:tblCellMar>
          <w:top w:w="0" w:type="dxa"/>
          <w:left w:w="108" w:type="dxa"/>
          <w:bottom w:w="0" w:type="dxa"/>
          <w:right w:w="108" w:type="dxa"/>
        </w:tblCellMar>
      </w:tblPr>
      <w:tblGrid>
        <w:gridCol w:w="555"/>
        <w:gridCol w:w="1050"/>
        <w:gridCol w:w="6861"/>
      </w:tblGrid>
      <w:tr>
        <w:tblPrEx>
          <w:tblLayout w:type="fixed"/>
          <w:tblCellMar>
            <w:top w:w="0" w:type="dxa"/>
            <w:left w:w="108" w:type="dxa"/>
            <w:bottom w:w="0" w:type="dxa"/>
            <w:right w:w="108" w:type="dxa"/>
          </w:tblCellMar>
        </w:tblPrEx>
        <w:trPr>
          <w:trHeight w:val="471" w:hRule="atLeast"/>
        </w:trPr>
        <w:tc>
          <w:tcPr>
            <w:tcW w:w="555" w:type="dxa"/>
            <w:tcBorders>
              <w:top w:val="single" w:color="auto" w:sz="4" w:space="0"/>
              <w:left w:val="single" w:color="auto" w:sz="4" w:space="0"/>
              <w:bottom w:val="single" w:color="auto" w:sz="4" w:space="0"/>
              <w:right w:val="single" w:color="auto" w:sz="4" w:space="0"/>
            </w:tcBorders>
            <w:noWrap/>
            <w:vAlign w:val="center"/>
          </w:tcPr>
          <w:p>
            <w:pPr>
              <w:widowControl/>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序号</w:t>
            </w:r>
          </w:p>
        </w:tc>
        <w:tc>
          <w:tcPr>
            <w:tcW w:w="1050" w:type="dxa"/>
            <w:tcBorders>
              <w:top w:val="single" w:color="auto" w:sz="4" w:space="0"/>
              <w:left w:val="nil"/>
              <w:bottom w:val="single" w:color="auto" w:sz="4" w:space="0"/>
              <w:right w:val="single" w:color="auto" w:sz="4" w:space="0"/>
            </w:tcBorders>
            <w:noWrap/>
            <w:vAlign w:val="center"/>
          </w:tcPr>
          <w:p>
            <w:pPr>
              <w:widowControl/>
              <w:jc w:val="center"/>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设备名称</w:t>
            </w:r>
          </w:p>
        </w:tc>
        <w:tc>
          <w:tcPr>
            <w:tcW w:w="6861" w:type="dxa"/>
            <w:tcBorders>
              <w:top w:val="single" w:color="auto" w:sz="4" w:space="0"/>
              <w:left w:val="nil"/>
              <w:bottom w:val="single" w:color="auto" w:sz="4" w:space="0"/>
              <w:right w:val="single" w:color="auto" w:sz="4" w:space="0"/>
            </w:tcBorders>
            <w:noWrap/>
            <w:vAlign w:val="center"/>
          </w:tcPr>
          <w:p>
            <w:pPr>
              <w:widowControl/>
              <w:jc w:val="center"/>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招标技术参数</w:t>
            </w:r>
          </w:p>
        </w:tc>
      </w:tr>
      <w:tr>
        <w:tblPrEx>
          <w:tblLayout w:type="fixed"/>
          <w:tblCellMar>
            <w:top w:w="0" w:type="dxa"/>
            <w:left w:w="108" w:type="dxa"/>
            <w:bottom w:w="0" w:type="dxa"/>
            <w:right w:w="108" w:type="dxa"/>
          </w:tblCellMar>
        </w:tblPrEx>
        <w:trPr>
          <w:trHeight w:val="6240" w:hRule="atLeast"/>
        </w:trPr>
        <w:tc>
          <w:tcPr>
            <w:tcW w:w="555" w:type="dxa"/>
            <w:tcBorders>
              <w:top w:val="nil"/>
              <w:left w:val="single" w:color="auto" w:sz="4" w:space="0"/>
              <w:bottom w:val="single" w:color="auto" w:sz="4" w:space="0"/>
              <w:right w:val="single" w:color="auto" w:sz="4" w:space="0"/>
            </w:tcBorders>
            <w:vAlign w:val="center"/>
          </w:tcPr>
          <w:p>
            <w:pPr>
              <w:widowControl/>
              <w:jc w:val="center"/>
              <w:rPr>
                <w:rFonts w:cs="Calibri" w:asciiTheme="majorEastAsia" w:hAnsiTheme="majorEastAsia" w:eastAsiaTheme="majorEastAsia"/>
                <w:kern w:val="0"/>
                <w:szCs w:val="21"/>
              </w:rPr>
            </w:pPr>
            <w:r>
              <w:rPr>
                <w:rFonts w:cs="Calibri" w:asciiTheme="majorEastAsia" w:hAnsiTheme="majorEastAsia" w:eastAsiaTheme="majorEastAsia"/>
                <w:kern w:val="0"/>
                <w:szCs w:val="21"/>
              </w:rPr>
              <w:t>1</w:t>
            </w:r>
          </w:p>
        </w:tc>
        <w:tc>
          <w:tcPr>
            <w:tcW w:w="1050" w:type="dxa"/>
            <w:tcBorders>
              <w:top w:val="nil"/>
              <w:left w:val="nil"/>
              <w:bottom w:val="single" w:color="auto" w:sz="4" w:space="0"/>
              <w:right w:val="single" w:color="auto" w:sz="4" w:space="0"/>
            </w:tcBorders>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智能检票通道闸机（含智能检票机和二维码、身份证、IC卡、人脸识别组件模块）</w:t>
            </w:r>
          </w:p>
        </w:tc>
        <w:tc>
          <w:tcPr>
            <w:tcW w:w="6861" w:type="dxa"/>
            <w:tcBorders>
              <w:top w:val="nil"/>
              <w:left w:val="nil"/>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304不锈钢</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kern w:val="0"/>
                <w:szCs w:val="21"/>
              </w:rPr>
              <w:t>箱体激光切割加工；精焊，精磨工艺；表面原厂拉丝</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kern w:val="0"/>
                <w:szCs w:val="21"/>
              </w:rPr>
              <w:t>断电自动掉杆，符合消防要求</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kern w:val="0"/>
                <w:szCs w:val="21"/>
              </w:rPr>
              <w:t xml:space="preserve">净重: 52kg ，钣金厚1.2mm  </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kern w:val="0"/>
                <w:szCs w:val="21"/>
              </w:rPr>
              <w:t>尺寸: 1200x280x980mm</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kern w:val="0"/>
                <w:szCs w:val="21"/>
              </w:rPr>
              <w:t>通行速度: ≤35人/分</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kern w:val="0"/>
                <w:szCs w:val="21"/>
              </w:rPr>
              <w:t>通道宽:≤550mm</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kern w:val="0"/>
                <w:szCs w:val="21"/>
              </w:rPr>
              <w:t>输入电压 : 220V,50HZ</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kern w:val="0"/>
                <w:szCs w:val="21"/>
              </w:rPr>
              <w:t>驱动电压: 24v</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kern w:val="0"/>
                <w:szCs w:val="21"/>
              </w:rPr>
              <w:t>环境温度: -25~+70</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kern w:val="0"/>
                <w:szCs w:val="21"/>
              </w:rPr>
              <w:t>功率:30W</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kern w:val="0"/>
                <w:szCs w:val="21"/>
              </w:rPr>
              <w:t>性能： 特有液压过人不反弹，稳定，同时能提供通过人员信息反溃，完全做到一人一杆；到位锁定功能，外力无法改变其位置 ；采用标准电气接口，可与多种ID卡、IC卡读卡器相挂接，并可通过管理计机实现远程控制与管理 ；具有非法闯关闸杆锁定、复位的功能，确保通行的合法性；具有多种管理模式可以选择，可轻松适应不同的管理需要而变，时刻智能管理提供方便 ；箱体材料：箱体、栏杆全部采用304不锈钢材质，经久耐用 应急措施： 闸机掉电落杆，通电后手动上杆(抬杆)系统具有突发应急措施，保证通道畅通无阻，方便人员及时疏散 ；防护性能： 箱体式设计，坚固耐用，满足室内室外应用 防潮、防尘、防水设计</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kern w:val="0"/>
                <w:szCs w:val="21"/>
              </w:rPr>
              <w:t>输入电源：220V+10%-15%，50Hz±4% ；</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color w:val="000000"/>
                <w:kern w:val="0"/>
                <w:szCs w:val="21"/>
              </w:rPr>
              <w:t>★</w:t>
            </w:r>
            <w:r>
              <w:rPr>
                <w:rFonts w:hint="eastAsia" w:cs="宋体" w:asciiTheme="majorEastAsia" w:hAnsiTheme="majorEastAsia" w:eastAsiaTheme="majorEastAsia"/>
                <w:kern w:val="0"/>
                <w:szCs w:val="21"/>
              </w:rPr>
              <w:t>人脸1:10万比对，耗时1S内</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kern w:val="0"/>
                <w:szCs w:val="21"/>
              </w:rPr>
              <w:t>闸机/自助机等终端设备采用安卓板卡，可靠性高，安全性好</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color w:val="000000"/>
                <w:kern w:val="0"/>
                <w:szCs w:val="21"/>
              </w:rPr>
              <w:t>★</w:t>
            </w:r>
            <w:r>
              <w:rPr>
                <w:rFonts w:hint="eastAsia" w:cs="宋体" w:asciiTheme="majorEastAsia" w:hAnsiTheme="majorEastAsia" w:eastAsiaTheme="majorEastAsia"/>
                <w:kern w:val="0"/>
                <w:szCs w:val="21"/>
              </w:rPr>
              <w:t>支持年游客量200W+</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color w:val="000000"/>
                <w:kern w:val="0"/>
                <w:szCs w:val="21"/>
              </w:rPr>
              <w:t>★</w:t>
            </w:r>
            <w:r>
              <w:rPr>
                <w:rFonts w:hint="eastAsia" w:cs="宋体" w:asciiTheme="majorEastAsia" w:hAnsiTheme="majorEastAsia" w:eastAsiaTheme="majorEastAsia"/>
                <w:kern w:val="0"/>
                <w:szCs w:val="21"/>
              </w:rPr>
              <w:t>闸机具备景区自营售票系统（官网、微信、APP等）</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kern w:val="0"/>
                <w:szCs w:val="21"/>
              </w:rPr>
              <w:t>支持OTA线上分销</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color w:val="000000"/>
                <w:kern w:val="0"/>
                <w:szCs w:val="21"/>
              </w:rPr>
              <w:t>★</w:t>
            </w:r>
            <w:r>
              <w:rPr>
                <w:rFonts w:hint="eastAsia" w:cs="宋体" w:asciiTheme="majorEastAsia" w:hAnsiTheme="majorEastAsia" w:eastAsiaTheme="majorEastAsia"/>
                <w:kern w:val="0"/>
                <w:szCs w:val="21"/>
              </w:rPr>
              <w:t>数据库实时热备，数据不丢失</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color w:val="000000"/>
                <w:kern w:val="0"/>
                <w:szCs w:val="21"/>
              </w:rPr>
              <w:t>★</w:t>
            </w:r>
            <w:r>
              <w:rPr>
                <w:rFonts w:hint="eastAsia" w:cs="宋体" w:asciiTheme="majorEastAsia" w:hAnsiTheme="majorEastAsia" w:eastAsiaTheme="majorEastAsia"/>
                <w:kern w:val="0"/>
                <w:szCs w:val="21"/>
              </w:rPr>
              <w:t>系统通信采用https加密，保障数据交换安全</w:t>
            </w:r>
            <w:r>
              <w:rPr>
                <w:rFonts w:hint="eastAsia" w:cs="宋体" w:asciiTheme="majorEastAsia" w:hAnsiTheme="majorEastAsia" w:eastAsiaTheme="majorEastAsia"/>
                <w:kern w:val="0"/>
                <w:szCs w:val="21"/>
              </w:rPr>
              <w:br w:type="textWrapping"/>
            </w:r>
            <w:r>
              <w:rPr>
                <w:rFonts w:hint="eastAsia" w:cs="宋体" w:asciiTheme="majorEastAsia" w:hAnsiTheme="majorEastAsia" w:eastAsiaTheme="majorEastAsia"/>
                <w:color w:val="000000"/>
                <w:kern w:val="0"/>
                <w:szCs w:val="21"/>
              </w:rPr>
              <w:t>★</w:t>
            </w:r>
            <w:r>
              <w:rPr>
                <w:rFonts w:hint="eastAsia" w:cs="宋体" w:asciiTheme="majorEastAsia" w:hAnsiTheme="majorEastAsia" w:eastAsiaTheme="majorEastAsia"/>
                <w:kern w:val="0"/>
                <w:szCs w:val="21"/>
              </w:rPr>
              <w:t>MTBF可靠性：机芯无故障转动≥1000万次</w:t>
            </w:r>
          </w:p>
        </w:tc>
      </w:tr>
    </w:tbl>
    <w:p>
      <w:pPr>
        <w:spacing w:line="240" w:lineRule="atLeast"/>
        <w:ind w:firstLine="420" w:firstLineChars="200"/>
        <w:rPr>
          <w:rFonts w:asciiTheme="majorEastAsia" w:hAnsiTheme="majorEastAsia" w:eastAsiaTheme="majorEastAsia"/>
          <w:szCs w:val="21"/>
        </w:rPr>
      </w:pPr>
    </w:p>
    <w:p>
      <w:pPr>
        <w:spacing w:line="240" w:lineRule="atLeast"/>
        <w:ind w:firstLine="420" w:firstLineChars="200"/>
        <w:rPr>
          <w:rFonts w:asciiTheme="majorEastAsia" w:hAnsiTheme="majorEastAsia" w:eastAsiaTheme="majorEastAsia"/>
          <w:szCs w:val="21"/>
        </w:rPr>
      </w:pPr>
    </w:p>
    <w:p>
      <w:pPr>
        <w:spacing w:line="240" w:lineRule="atLeast"/>
        <w:ind w:firstLine="420" w:firstLineChars="200"/>
        <w:rPr>
          <w:rFonts w:asciiTheme="majorEastAsia" w:hAnsiTheme="majorEastAsia" w:eastAsiaTheme="majorEastAsia"/>
          <w:szCs w:val="21"/>
        </w:rPr>
      </w:pPr>
    </w:p>
    <w:p>
      <w:pPr>
        <w:spacing w:line="240" w:lineRule="atLeast"/>
        <w:ind w:firstLine="420" w:firstLineChars="200"/>
        <w:rPr>
          <w:rFonts w:asciiTheme="majorEastAsia" w:hAnsiTheme="majorEastAsia" w:eastAsiaTheme="majorEastAsia"/>
          <w:szCs w:val="21"/>
        </w:rPr>
      </w:pPr>
    </w:p>
    <w:p>
      <w:pPr>
        <w:spacing w:line="240" w:lineRule="atLeast"/>
        <w:ind w:firstLine="420" w:firstLineChars="200"/>
        <w:rPr>
          <w:rFonts w:asciiTheme="majorEastAsia" w:hAnsiTheme="majorEastAsia" w:eastAsiaTheme="majorEastAsia"/>
          <w:szCs w:val="21"/>
        </w:rPr>
      </w:pPr>
    </w:p>
    <w:p>
      <w:pPr>
        <w:spacing w:line="240" w:lineRule="atLeast"/>
        <w:ind w:firstLine="420" w:firstLineChars="200"/>
        <w:rPr>
          <w:rFonts w:asciiTheme="majorEastAsia" w:hAnsiTheme="majorEastAsia" w:eastAsiaTheme="majorEastAsia"/>
          <w:szCs w:val="21"/>
        </w:rPr>
      </w:pPr>
    </w:p>
    <w:p>
      <w:pPr>
        <w:spacing w:line="240" w:lineRule="atLeast"/>
        <w:ind w:firstLine="420" w:firstLineChars="200"/>
        <w:rPr>
          <w:rFonts w:asciiTheme="majorEastAsia" w:hAnsiTheme="majorEastAsia" w:eastAsiaTheme="majorEastAsia"/>
          <w:szCs w:val="21"/>
        </w:rPr>
      </w:pPr>
    </w:p>
    <w:p>
      <w:pPr>
        <w:spacing w:line="240" w:lineRule="atLeast"/>
        <w:ind w:firstLine="420" w:firstLineChars="200"/>
        <w:rPr>
          <w:rFonts w:asciiTheme="majorEastAsia" w:hAnsiTheme="majorEastAsia" w:eastAsiaTheme="majorEastAsia"/>
          <w:szCs w:val="21"/>
        </w:rPr>
      </w:pPr>
    </w:p>
    <w:p>
      <w:pPr>
        <w:spacing w:line="240" w:lineRule="atLeast"/>
        <w:ind w:firstLine="420" w:firstLineChars="200"/>
        <w:rPr>
          <w:rFonts w:asciiTheme="majorEastAsia" w:hAnsiTheme="majorEastAsia" w:eastAsiaTheme="majorEastAsia"/>
          <w:szCs w:val="21"/>
        </w:rPr>
      </w:pPr>
    </w:p>
    <w:p>
      <w:pPr>
        <w:spacing w:line="240" w:lineRule="atLeast"/>
        <w:ind w:firstLine="420" w:firstLineChars="200"/>
        <w:rPr>
          <w:rFonts w:asciiTheme="majorEastAsia" w:hAnsiTheme="majorEastAsia" w:eastAsiaTheme="majorEastAsia"/>
          <w:szCs w:val="21"/>
        </w:rPr>
      </w:pPr>
    </w:p>
    <w:p>
      <w:pPr>
        <w:spacing w:line="240" w:lineRule="atLeast"/>
        <w:ind w:firstLine="420" w:firstLineChars="200"/>
      </w:pPr>
    </w:p>
    <w:p>
      <w:pPr>
        <w:pStyle w:val="93"/>
        <w:outlineLvl w:val="9"/>
        <w:rPr>
          <w:rFonts w:asciiTheme="majorEastAsia" w:hAnsiTheme="majorEastAsia" w:eastAsiaTheme="majorEastAsia"/>
          <w:sz w:val="21"/>
          <w:szCs w:val="21"/>
        </w:rPr>
      </w:pPr>
      <w:bookmarkStart w:id="665" w:name="_Toc12017957"/>
      <w:r>
        <w:rPr>
          <w:rFonts w:hint="eastAsia" w:cs="仿宋_GB2312" w:asciiTheme="majorEastAsia" w:hAnsiTheme="majorEastAsia" w:eastAsiaTheme="majorEastAsia"/>
          <w:b/>
          <w:bCs/>
          <w:sz w:val="21"/>
          <w:szCs w:val="21"/>
        </w:rPr>
        <w:t>3、多媒体报警柱</w:t>
      </w:r>
      <w:bookmarkEnd w:id="665"/>
    </w:p>
    <w:tbl>
      <w:tblPr>
        <w:tblStyle w:val="39"/>
        <w:tblW w:w="8466" w:type="dxa"/>
        <w:tblInd w:w="0" w:type="dxa"/>
        <w:tblLayout w:type="fixed"/>
        <w:tblCellMar>
          <w:top w:w="0" w:type="dxa"/>
          <w:left w:w="108" w:type="dxa"/>
          <w:bottom w:w="0" w:type="dxa"/>
          <w:right w:w="108" w:type="dxa"/>
        </w:tblCellMar>
      </w:tblPr>
      <w:tblGrid>
        <w:gridCol w:w="555"/>
        <w:gridCol w:w="1050"/>
        <w:gridCol w:w="6861"/>
      </w:tblGrid>
      <w:tr>
        <w:tblPrEx>
          <w:tblLayout w:type="fixed"/>
          <w:tblCellMar>
            <w:top w:w="0" w:type="dxa"/>
            <w:left w:w="108" w:type="dxa"/>
            <w:bottom w:w="0" w:type="dxa"/>
            <w:right w:w="108" w:type="dxa"/>
          </w:tblCellMar>
        </w:tblPrEx>
        <w:trPr>
          <w:trHeight w:val="471" w:hRule="atLeast"/>
        </w:trPr>
        <w:tc>
          <w:tcPr>
            <w:tcW w:w="555" w:type="dxa"/>
            <w:tcBorders>
              <w:top w:val="single" w:color="auto" w:sz="4" w:space="0"/>
              <w:left w:val="single" w:color="auto" w:sz="4" w:space="0"/>
              <w:bottom w:val="single" w:color="auto" w:sz="4" w:space="0"/>
              <w:right w:val="single" w:color="auto" w:sz="4" w:space="0"/>
            </w:tcBorders>
            <w:noWrap/>
            <w:vAlign w:val="center"/>
          </w:tcPr>
          <w:p>
            <w:pPr>
              <w:widowControl/>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序号</w:t>
            </w:r>
          </w:p>
        </w:tc>
        <w:tc>
          <w:tcPr>
            <w:tcW w:w="1050" w:type="dxa"/>
            <w:tcBorders>
              <w:top w:val="single" w:color="auto" w:sz="4" w:space="0"/>
              <w:left w:val="nil"/>
              <w:bottom w:val="single" w:color="auto" w:sz="4" w:space="0"/>
              <w:right w:val="single" w:color="auto" w:sz="4" w:space="0"/>
            </w:tcBorders>
            <w:noWrap/>
            <w:vAlign w:val="center"/>
          </w:tcPr>
          <w:p>
            <w:pPr>
              <w:widowControl/>
              <w:jc w:val="center"/>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设备名称</w:t>
            </w:r>
          </w:p>
        </w:tc>
        <w:tc>
          <w:tcPr>
            <w:tcW w:w="6861" w:type="dxa"/>
            <w:tcBorders>
              <w:top w:val="single" w:color="auto" w:sz="4" w:space="0"/>
              <w:left w:val="nil"/>
              <w:bottom w:val="single" w:color="auto" w:sz="4" w:space="0"/>
              <w:right w:val="single" w:color="auto" w:sz="4" w:space="0"/>
            </w:tcBorders>
            <w:noWrap/>
            <w:vAlign w:val="center"/>
          </w:tcPr>
          <w:p>
            <w:pPr>
              <w:widowControl/>
              <w:jc w:val="center"/>
              <w:rPr>
                <w:rFonts w:cs="宋体" w:asciiTheme="majorEastAsia" w:hAnsiTheme="majorEastAsia" w:eastAsiaTheme="majorEastAsia"/>
                <w:color w:val="000000"/>
                <w:kern w:val="0"/>
                <w:szCs w:val="21"/>
              </w:rPr>
            </w:pPr>
            <w:r>
              <w:rPr>
                <w:rFonts w:hint="eastAsia" w:cs="宋体" w:asciiTheme="majorEastAsia" w:hAnsiTheme="majorEastAsia" w:eastAsiaTheme="majorEastAsia"/>
                <w:color w:val="000000"/>
                <w:kern w:val="0"/>
                <w:szCs w:val="21"/>
              </w:rPr>
              <w:t>招标技术参数</w:t>
            </w:r>
          </w:p>
        </w:tc>
      </w:tr>
      <w:tr>
        <w:tblPrEx>
          <w:tblLayout w:type="fixed"/>
          <w:tblCellMar>
            <w:top w:w="0" w:type="dxa"/>
            <w:left w:w="108" w:type="dxa"/>
            <w:bottom w:w="0" w:type="dxa"/>
            <w:right w:w="108" w:type="dxa"/>
          </w:tblCellMar>
        </w:tblPrEx>
        <w:trPr>
          <w:trHeight w:val="416" w:hRule="atLeast"/>
        </w:trPr>
        <w:tc>
          <w:tcPr>
            <w:tcW w:w="555" w:type="dxa"/>
            <w:tcBorders>
              <w:top w:val="nil"/>
              <w:left w:val="single" w:color="auto" w:sz="4" w:space="0"/>
              <w:bottom w:val="single" w:color="auto" w:sz="4" w:space="0"/>
              <w:right w:val="single" w:color="auto" w:sz="4" w:space="0"/>
            </w:tcBorders>
            <w:vAlign w:val="center"/>
          </w:tcPr>
          <w:p>
            <w:pPr>
              <w:widowControl/>
              <w:jc w:val="center"/>
              <w:rPr>
                <w:rFonts w:cs="Calibri" w:asciiTheme="majorEastAsia" w:hAnsiTheme="majorEastAsia" w:eastAsiaTheme="majorEastAsia"/>
                <w:kern w:val="0"/>
                <w:szCs w:val="21"/>
              </w:rPr>
            </w:pPr>
            <w:r>
              <w:rPr>
                <w:rFonts w:cs="Calibri" w:asciiTheme="majorEastAsia" w:hAnsiTheme="majorEastAsia" w:eastAsiaTheme="majorEastAsia"/>
                <w:kern w:val="0"/>
                <w:szCs w:val="21"/>
              </w:rPr>
              <w:t>1</w:t>
            </w:r>
          </w:p>
        </w:tc>
        <w:tc>
          <w:tcPr>
            <w:tcW w:w="1050" w:type="dxa"/>
            <w:tcBorders>
              <w:top w:val="nil"/>
              <w:left w:val="nil"/>
              <w:bottom w:val="single" w:color="auto" w:sz="4" w:space="0"/>
              <w:right w:val="single" w:color="auto" w:sz="4" w:space="0"/>
            </w:tcBorders>
            <w:vAlign w:val="center"/>
          </w:tcPr>
          <w:p>
            <w:pPr>
              <w:widowControl/>
              <w:jc w:val="center"/>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多媒体报警柱</w:t>
            </w:r>
          </w:p>
        </w:tc>
        <w:tc>
          <w:tcPr>
            <w:tcW w:w="6861" w:type="dxa"/>
            <w:tcBorders>
              <w:top w:val="nil"/>
              <w:left w:val="nil"/>
              <w:bottom w:val="single" w:color="auto" w:sz="4" w:space="0"/>
              <w:right w:val="single" w:color="auto" w:sz="4" w:space="0"/>
            </w:tcBorders>
            <w:vAlign w:val="center"/>
          </w:tcPr>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采用嵌入式Linux操作系统,高性能嵌入式SOC处理器，系统运行稳定可靠；</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前置环形红色背光灯机械按键，环形红色背光灯能定时闪烁，报警按钮处具有“紧急报警”明显标示说明，呼叫接通后的通话过程中按键的红色环形背光灯闪烁频率应加快，指示为当前处于通话状态；</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★设备支持双网口链路、无线链路、PSTN电话链路传输；</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支持海康EHOME协议接入，支持GB/T28181协议接入；</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★设备自带200万像素摄像头，支持视频复核和实时监控</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支持红外补光，在光照强度0.1Lx时，红外补光距离应不小于10米；支持日夜模式自动切换：通过ICR红外滤片实现自动切换，实现真正的日夜模式监控；</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★设备支持2路音频输入和2路音频输出；音频输入和音频输出关系可自由配置，内部含高灵敏度麦克风，拾音距离应达到10米，语音清晰，内置30W扬声器；</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★彩色图像：图像分辨力≥280TVL，亮度鉴别等级≥8级；</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★信息发布屏亮度鉴别等级≥10级，亮度：≥320cd/m²，对比度：≥1000:1</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★集成8口交换机；</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★支持可外扩球机支架杆，球机杆直径应不小于φ85mm，安装方向应支持按每60°方向360°旋转安装</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★支持可视对讲功能：按下紧急求助按键后呼叫中心管理机，呼叫过程中能听到相应提示音；通话过程中中心能看到设备处实时视频，支持实时全双工双向语音对讲和视频通话功能；</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★支持呼叫转移功能：设备呼叫中心管理机的时候，应可通过呼叫转移功能将呼叫信息转移到其他中心管理机上；</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★支持同时进行多方实时对讲通话，多台前端设备与多台中心管理机实时多方通话；</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★支持语音播报、分组广播功能；</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★支持喧哗报警侦测；外界噪音≥60DB（可设置）</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★支持巡更刷卡功能，刷卡成功并有相应提示音</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★支持将音视频同步存储到设备SD卡中，当在双向对讲通话时录像存储为双向通过混音的音视频复合流；</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设备支持将防拆报警、防区报警等报警信息通过网线传送到管理中心，并形成日志文件；</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支持中心管理机控制前端设备警灯打开和关闭功能；</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内置振动探测器接口</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支持本地钥匙开锁</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支持系统校时功能；</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支持看门狗功能；</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支持网络远程在线升级功能；</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★配备电源防雷装置，自动重合闸装置，支持漏电时自动重合闸切断设备供电，电路回复自动恢复设备供电</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防护等级：IP65；</w:t>
            </w:r>
          </w:p>
          <w:p>
            <w:pPr>
              <w:widowControl/>
              <w:jc w:val="left"/>
              <w:rPr>
                <w:rFonts w:cs="宋体" w:asciiTheme="majorEastAsia" w:hAnsiTheme="majorEastAsia" w:eastAsiaTheme="majorEastAsia"/>
                <w:kern w:val="0"/>
                <w:szCs w:val="21"/>
              </w:rPr>
            </w:pPr>
            <w:r>
              <w:rPr>
                <w:rFonts w:hint="eastAsia" w:cs="宋体" w:asciiTheme="majorEastAsia" w:hAnsiTheme="majorEastAsia" w:eastAsiaTheme="majorEastAsia"/>
                <w:kern w:val="0"/>
                <w:szCs w:val="21"/>
              </w:rPr>
              <w:t>★工作环境:温度-40℃～70℃,湿度小于93%环境下稳定工作</w:t>
            </w:r>
          </w:p>
        </w:tc>
      </w:tr>
    </w:tbl>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spacing w:line="240" w:lineRule="atLeast"/>
      </w:pPr>
    </w:p>
    <w:p>
      <w:pPr>
        <w:adjustRightInd w:val="0"/>
        <w:snapToGrid w:val="0"/>
        <w:spacing w:line="440" w:lineRule="exact"/>
        <w:jc w:val="left"/>
        <w:rPr>
          <w:rFonts w:ascii="宋体" w:hAnsi="宋体" w:cs="宋体"/>
          <w:bCs/>
          <w:sz w:val="28"/>
          <w:szCs w:val="28"/>
        </w:rPr>
      </w:pPr>
      <w:r>
        <w:rPr>
          <w:rFonts w:hint="eastAsia" w:cs="仿宋_GB2312" w:asciiTheme="majorEastAsia" w:hAnsiTheme="majorEastAsia" w:eastAsiaTheme="majorEastAsia"/>
          <w:b/>
          <w:bCs/>
          <w:szCs w:val="21"/>
        </w:rPr>
        <w:t>3.产品清单:</w:t>
      </w:r>
    </w:p>
    <w:tbl>
      <w:tblPr>
        <w:tblStyle w:val="39"/>
        <w:tblW w:w="8466" w:type="dxa"/>
        <w:tblInd w:w="0" w:type="dxa"/>
        <w:tblLayout w:type="fixed"/>
        <w:tblCellMar>
          <w:top w:w="0" w:type="dxa"/>
          <w:left w:w="108" w:type="dxa"/>
          <w:bottom w:w="0" w:type="dxa"/>
          <w:right w:w="108" w:type="dxa"/>
        </w:tblCellMar>
      </w:tblPr>
      <w:tblGrid>
        <w:gridCol w:w="530"/>
        <w:gridCol w:w="105"/>
        <w:gridCol w:w="873"/>
        <w:gridCol w:w="4516"/>
        <w:gridCol w:w="1472"/>
        <w:gridCol w:w="633"/>
        <w:gridCol w:w="337"/>
      </w:tblGrid>
      <w:tr>
        <w:tblPrEx>
          <w:tblLayout w:type="fixed"/>
          <w:tblCellMar>
            <w:top w:w="0" w:type="dxa"/>
            <w:left w:w="108" w:type="dxa"/>
            <w:bottom w:w="0" w:type="dxa"/>
            <w:right w:w="108" w:type="dxa"/>
          </w:tblCellMar>
        </w:tblPrEx>
        <w:trPr>
          <w:trHeight w:val="450" w:hRule="atLeast"/>
        </w:trPr>
        <w:tc>
          <w:tcPr>
            <w:tcW w:w="8466" w:type="dxa"/>
            <w:gridSpan w:val="7"/>
            <w:tcBorders>
              <w:bottom w:val="single" w:color="auto" w:sz="4" w:space="0"/>
            </w:tcBorders>
            <w:shd w:val="clear" w:color="000000" w:fill="FFFFFF"/>
            <w:vAlign w:val="center"/>
          </w:tcPr>
          <w:p>
            <w:pPr>
              <w:widowControl/>
              <w:ind w:firstLine="723"/>
              <w:jc w:val="center"/>
              <w:rPr>
                <w:rFonts w:ascii="仿宋" w:hAnsi="仿宋" w:eastAsia="仿宋" w:cs="宋体"/>
                <w:b/>
                <w:bCs/>
                <w:kern w:val="0"/>
                <w:szCs w:val="21"/>
              </w:rPr>
            </w:pPr>
            <w:r>
              <w:rPr>
                <w:rFonts w:hint="eastAsia" w:ascii="仿宋_GB2312" w:hAnsi="仿宋_GB2312" w:eastAsia="仿宋_GB2312" w:cs="仿宋_GB2312"/>
                <w:b/>
                <w:bCs/>
                <w:kern w:val="0"/>
                <w:sz w:val="28"/>
                <w:szCs w:val="28"/>
              </w:rPr>
              <w:t>1、景区服务平台</w:t>
            </w:r>
          </w:p>
        </w:tc>
      </w:tr>
      <w:tr>
        <w:tblPrEx>
          <w:tblLayout w:type="fixed"/>
          <w:tblCellMar>
            <w:top w:w="0" w:type="dxa"/>
            <w:left w:w="108" w:type="dxa"/>
            <w:bottom w:w="0" w:type="dxa"/>
            <w:right w:w="108" w:type="dxa"/>
          </w:tblCellMar>
        </w:tblPrEx>
        <w:trPr>
          <w:trHeight w:val="270" w:hRule="atLeast"/>
        </w:trPr>
        <w:tc>
          <w:tcPr>
            <w:tcW w:w="635" w:type="dxa"/>
            <w:gridSpan w:val="2"/>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b/>
                <w:bCs/>
                <w:kern w:val="0"/>
                <w:szCs w:val="21"/>
              </w:rPr>
            </w:pPr>
            <w:r>
              <w:rPr>
                <w:rFonts w:hint="eastAsia" w:ascii="仿宋" w:hAnsi="仿宋" w:eastAsia="仿宋" w:cs="宋体"/>
                <w:b/>
                <w:bCs/>
                <w:kern w:val="0"/>
                <w:szCs w:val="21"/>
              </w:rPr>
              <w:t>序号</w:t>
            </w:r>
          </w:p>
        </w:tc>
        <w:tc>
          <w:tcPr>
            <w:tcW w:w="87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b/>
                <w:bCs/>
                <w:kern w:val="0"/>
                <w:szCs w:val="21"/>
              </w:rPr>
            </w:pPr>
            <w:r>
              <w:rPr>
                <w:rFonts w:hint="eastAsia" w:ascii="仿宋" w:hAnsi="仿宋" w:eastAsia="仿宋" w:cs="宋体"/>
                <w:b/>
                <w:bCs/>
                <w:kern w:val="0"/>
                <w:szCs w:val="21"/>
              </w:rPr>
              <w:t>设备名称</w:t>
            </w:r>
          </w:p>
        </w:tc>
        <w:tc>
          <w:tcPr>
            <w:tcW w:w="451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b/>
                <w:bCs/>
                <w:kern w:val="0"/>
                <w:szCs w:val="21"/>
              </w:rPr>
            </w:pPr>
            <w:r>
              <w:rPr>
                <w:rFonts w:hint="eastAsia" w:ascii="仿宋" w:hAnsi="仿宋" w:eastAsia="仿宋" w:cs="宋体"/>
                <w:b/>
                <w:bCs/>
                <w:kern w:val="0"/>
                <w:szCs w:val="21"/>
              </w:rPr>
              <w:t>参数说明</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b/>
                <w:bCs/>
                <w:kern w:val="0"/>
                <w:szCs w:val="21"/>
              </w:rPr>
            </w:pPr>
            <w:r>
              <w:rPr>
                <w:rFonts w:hint="eastAsia" w:ascii="仿宋" w:hAnsi="仿宋" w:eastAsia="仿宋" w:cs="宋体"/>
                <w:b/>
                <w:bCs/>
                <w:kern w:val="0"/>
                <w:szCs w:val="21"/>
              </w:rPr>
              <w:t>推荐品牌</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b/>
                <w:bCs/>
                <w:kern w:val="0"/>
                <w:szCs w:val="21"/>
              </w:rPr>
            </w:pPr>
            <w:r>
              <w:rPr>
                <w:rFonts w:hint="eastAsia" w:ascii="仿宋" w:hAnsi="仿宋" w:eastAsia="仿宋" w:cs="宋体"/>
                <w:b/>
                <w:bCs/>
                <w:kern w:val="0"/>
                <w:szCs w:val="21"/>
              </w:rPr>
              <w:t>数量</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b/>
                <w:bCs/>
                <w:kern w:val="0"/>
                <w:szCs w:val="21"/>
              </w:rPr>
            </w:pPr>
            <w:r>
              <w:rPr>
                <w:rFonts w:hint="eastAsia" w:ascii="仿宋" w:hAnsi="仿宋" w:eastAsia="仿宋" w:cs="宋体"/>
                <w:b/>
                <w:bCs/>
                <w:kern w:val="0"/>
                <w:szCs w:val="21"/>
              </w:rPr>
              <w:t>单位</w:t>
            </w:r>
          </w:p>
        </w:tc>
      </w:tr>
      <w:tr>
        <w:tblPrEx>
          <w:tblLayout w:type="fixed"/>
          <w:tblCellMar>
            <w:top w:w="0" w:type="dxa"/>
            <w:left w:w="108" w:type="dxa"/>
            <w:bottom w:w="0" w:type="dxa"/>
            <w:right w:w="108" w:type="dxa"/>
          </w:tblCellMar>
        </w:tblPrEx>
        <w:trPr>
          <w:trHeight w:val="270" w:hRule="atLeast"/>
        </w:trPr>
        <w:tc>
          <w:tcPr>
            <w:tcW w:w="8466"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b/>
                <w:bCs/>
                <w:kern w:val="0"/>
                <w:szCs w:val="21"/>
              </w:rPr>
            </w:pPr>
            <w:r>
              <w:rPr>
                <w:rFonts w:hint="eastAsia" w:ascii="仿宋" w:hAnsi="仿宋" w:eastAsia="仿宋" w:cs="宋体"/>
                <w:b/>
                <w:bCs/>
                <w:kern w:val="0"/>
                <w:szCs w:val="21"/>
              </w:rPr>
              <w:t>1.1.1 多媒体信息显示系统工程</w:t>
            </w:r>
          </w:p>
        </w:tc>
      </w:tr>
      <w:tr>
        <w:tblPrEx>
          <w:tblLayout w:type="fixed"/>
          <w:tblCellMar>
            <w:top w:w="0" w:type="dxa"/>
            <w:left w:w="108" w:type="dxa"/>
            <w:bottom w:w="0" w:type="dxa"/>
            <w:right w:w="108" w:type="dxa"/>
          </w:tblCellMar>
        </w:tblPrEx>
        <w:trPr>
          <w:trHeight w:val="416"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显示屏1</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使用环境：户外；像数点间距：6.0mm；像素密度：27777点/㎡像素构成：1R1G1B；显示净尺寸：长4.992M×高2.88M显示分辨率：长832×高480点；含防水箱体；含发送卡、接收卡；同步系统，具备逐点矫正功能智能上下电，达到最佳散热和除湿效果长5.092M×高2.98M ；5cm不锈钢或黑色钛金贴面装饰，不锈钢材质≥1.2mm，框架结构主要部件采用槽钢及国标方通，整体密封与防水处理；屏体框架后或下开维修门，屏体框架内厚度不小于≤80cm，带简易维修通道；取电房到显示屏安装位置，主电源线：YJV 5*4；</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康硕展、彩易达、东微</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套</w:t>
            </w:r>
          </w:p>
        </w:tc>
      </w:tr>
      <w:tr>
        <w:tblPrEx>
          <w:tblLayout w:type="fixed"/>
          <w:tblCellMar>
            <w:top w:w="0" w:type="dxa"/>
            <w:left w:w="108" w:type="dxa"/>
            <w:bottom w:w="0" w:type="dxa"/>
            <w:right w:w="108" w:type="dxa"/>
          </w:tblCellMar>
        </w:tblPrEx>
        <w:trPr>
          <w:trHeight w:val="144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显示屏2</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使用环境：户外；像数点间距：6.0mm；像素密度：27777点/㎡像素构成：1R1G1B；显示净尺寸：长4.992M×高3.456M；显示分辨率：长832×高576点；含防水箱体长4.992M×高3.456M；；8cm不锈钢贴面装饰，不锈钢材质≥1.2mm，2m高双立柱；框架结构主要部件采用槽钢及国标方通，整体密封与防水处理；筋（笼）混凝土地基；取电房到显示屏安装位置，主电源线：YJV5*4；</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康硕展、彩易达、东微</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套</w:t>
            </w:r>
          </w:p>
        </w:tc>
      </w:tr>
      <w:tr>
        <w:tblPrEx>
          <w:tblLayout w:type="fixed"/>
          <w:tblCellMar>
            <w:top w:w="0" w:type="dxa"/>
            <w:left w:w="108" w:type="dxa"/>
            <w:bottom w:w="0" w:type="dxa"/>
            <w:right w:w="108" w:type="dxa"/>
          </w:tblCellMar>
        </w:tblPrEx>
        <w:trPr>
          <w:trHeight w:val="144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3</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显示屏3</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使用环境：户外；像数点间距：6.0mm；像素密度：27777点/㎡像素构成：1R1G1B；显示净尺寸：长4.992M×高3.456M；显示分辨率：长832×高576点含防水箱体长4.992M×高3.456M；8cm不锈钢贴面装饰，不锈钢材质≥1.2mm，2m高双立柱；框架结构主要部件采用槽钢及国标方通，整体密封与防水处理；筋（笼）混凝土地基；取电房到显示屏安装位置，主电源线：YJV5*4；</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康硕展、彩易达、东微</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套</w:t>
            </w:r>
          </w:p>
        </w:tc>
      </w:tr>
      <w:tr>
        <w:tblPrEx>
          <w:tblLayout w:type="fixed"/>
          <w:tblCellMar>
            <w:top w:w="0" w:type="dxa"/>
            <w:left w:w="108" w:type="dxa"/>
            <w:bottom w:w="0" w:type="dxa"/>
            <w:right w:w="108" w:type="dxa"/>
          </w:tblCellMar>
        </w:tblPrEx>
        <w:trPr>
          <w:trHeight w:val="424"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4</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显示屏4</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使用环境：户外；像数点间距：4.0mm；像素密度：62500点/㎡像素构成：1R1G1B；显示净尺寸：长2.816M×高1.92M；显示分辨率：长704×高480点；含防水箱体长2.916M×高2.02M；5cm不锈钢贴面装饰，不锈钢材质≥1.2mm，1m高双立柱；框架结构主要部件采用槽钢及国标方通，整体密封与防水处理；筋（笼）混凝土地基；取电房到显示屏安装位置，主电源线：YJV5*2.5；含发送卡、接收卡；同步系统，具备逐点矫正功能</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康硕展、彩易达、东微</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套</w:t>
            </w:r>
          </w:p>
        </w:tc>
      </w:tr>
      <w:tr>
        <w:tblPrEx>
          <w:tblLayout w:type="fixed"/>
          <w:tblCellMar>
            <w:top w:w="0" w:type="dxa"/>
            <w:left w:w="108" w:type="dxa"/>
            <w:bottom w:w="0" w:type="dxa"/>
            <w:right w:w="108" w:type="dxa"/>
          </w:tblCellMar>
        </w:tblPrEx>
        <w:trPr>
          <w:trHeight w:val="48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5</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显示屏5</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55寸，分辨率1920*1080,3.5拼缝，500亮度、3*4拼接、含底座、解码器、机柜等</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大华、海康、华为</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套</w:t>
            </w:r>
          </w:p>
        </w:tc>
      </w:tr>
      <w:tr>
        <w:tblPrEx>
          <w:tblLayout w:type="fixed"/>
          <w:tblCellMar>
            <w:top w:w="0" w:type="dxa"/>
            <w:left w:w="108" w:type="dxa"/>
            <w:bottom w:w="0" w:type="dxa"/>
            <w:right w:w="108" w:type="dxa"/>
          </w:tblCellMar>
        </w:tblPrEx>
        <w:trPr>
          <w:trHeight w:val="48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6</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控制电脑</w:t>
            </w:r>
          </w:p>
        </w:tc>
        <w:tc>
          <w:tcPr>
            <w:tcW w:w="4516" w:type="dxa"/>
            <w:tcBorders>
              <w:top w:val="nil"/>
              <w:left w:val="nil"/>
              <w:bottom w:val="single" w:color="auto" w:sz="4" w:space="0"/>
              <w:right w:val="single" w:color="auto" w:sz="4" w:space="0"/>
            </w:tcBorders>
            <w:shd w:val="clear" w:color="000000" w:fill="FFFFFF"/>
          </w:tcPr>
          <w:p>
            <w:pPr>
              <w:widowControl/>
              <w:jc w:val="left"/>
              <w:rPr>
                <w:rFonts w:ascii="仿宋" w:hAnsi="仿宋" w:eastAsia="仿宋" w:cs="宋体"/>
                <w:kern w:val="0"/>
                <w:szCs w:val="21"/>
              </w:rPr>
            </w:pPr>
            <w:r>
              <w:rPr>
                <w:rFonts w:hint="eastAsia" w:ascii="仿宋" w:hAnsi="仿宋" w:eastAsia="仿宋" w:cs="宋体"/>
                <w:kern w:val="0"/>
                <w:szCs w:val="21"/>
              </w:rPr>
              <w:t>CPU i5-8400速度 2.8GHz 核心数 六核，内存8GB，硬盘1TB，DVD光驱，显示器：21.5英寸，键盘鼠标套装。</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联想、戴尔、惠普</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4</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套</w:t>
            </w:r>
          </w:p>
        </w:tc>
      </w:tr>
      <w:tr>
        <w:tblPrEx>
          <w:tblLayout w:type="fixed"/>
          <w:tblCellMar>
            <w:top w:w="0" w:type="dxa"/>
            <w:left w:w="108" w:type="dxa"/>
            <w:bottom w:w="0" w:type="dxa"/>
            <w:right w:w="108" w:type="dxa"/>
          </w:tblCellMar>
        </w:tblPrEx>
        <w:trPr>
          <w:trHeight w:val="27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7</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辅材</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　</w:t>
            </w:r>
            <w:r>
              <w:rPr>
                <w:rFonts w:hint="eastAsia" w:ascii="仿宋" w:hAnsi="仿宋" w:eastAsia="仿宋" w:cs="宋体"/>
                <w:color w:val="000000"/>
                <w:kern w:val="0"/>
                <w:szCs w:val="21"/>
              </w:rPr>
              <w:t>含工程建设所需的辅材如固定件、扎带、胶带等</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　</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批</w:t>
            </w:r>
          </w:p>
        </w:tc>
      </w:tr>
      <w:tr>
        <w:tblPrEx>
          <w:tblLayout w:type="fixed"/>
          <w:tblCellMar>
            <w:top w:w="0" w:type="dxa"/>
            <w:left w:w="108" w:type="dxa"/>
            <w:bottom w:w="0" w:type="dxa"/>
            <w:right w:w="108" w:type="dxa"/>
          </w:tblCellMar>
        </w:tblPrEx>
        <w:trPr>
          <w:trHeight w:val="270" w:hRule="atLeast"/>
        </w:trPr>
        <w:tc>
          <w:tcPr>
            <w:tcW w:w="8466"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b/>
                <w:bCs/>
                <w:kern w:val="0"/>
                <w:szCs w:val="21"/>
              </w:rPr>
            </w:pPr>
            <w:r>
              <w:rPr>
                <w:rFonts w:hint="eastAsia" w:ascii="仿宋" w:hAnsi="仿宋" w:eastAsia="仿宋" w:cs="宋体"/>
                <w:b/>
                <w:bCs/>
                <w:kern w:val="0"/>
                <w:szCs w:val="21"/>
              </w:rPr>
              <w:t>1.2.1 智能语音播放工程</w:t>
            </w:r>
          </w:p>
        </w:tc>
      </w:tr>
      <w:tr>
        <w:tblPrEx>
          <w:tblLayout w:type="fixed"/>
          <w:tblCellMar>
            <w:top w:w="0" w:type="dxa"/>
            <w:left w:w="108" w:type="dxa"/>
            <w:bottom w:w="0" w:type="dxa"/>
            <w:right w:w="108" w:type="dxa"/>
          </w:tblCellMar>
        </w:tblPrEx>
        <w:trPr>
          <w:trHeight w:val="27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电脑</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八代i3-8100/8G/1T/显示器：19.5英寸，键盘鼠标套装。</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联想、戴尔、惠普</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9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IP网络核心广播主机</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17.3寸大幅彩屏，触摸屏和鼠标两种操控方式；</w:t>
            </w:r>
            <w:r>
              <w:rPr>
                <w:rFonts w:hint="eastAsia" w:ascii="仿宋" w:hAnsi="仿宋" w:eastAsia="仿宋" w:cs="宋体"/>
                <w:kern w:val="0"/>
                <w:szCs w:val="21"/>
              </w:rPr>
              <w:br w:type="textWrapping"/>
            </w:r>
            <w:r>
              <w:rPr>
                <w:rFonts w:hint="eastAsia" w:ascii="仿宋" w:hAnsi="仿宋" w:eastAsia="仿宋" w:cs="宋体"/>
                <w:kern w:val="0"/>
                <w:szCs w:val="21"/>
              </w:rPr>
              <w:t>自带服务器操控软件；</w:t>
            </w:r>
            <w:r>
              <w:rPr>
                <w:rFonts w:hint="eastAsia" w:ascii="仿宋" w:hAnsi="仿宋" w:eastAsia="仿宋" w:cs="宋体"/>
                <w:kern w:val="0"/>
                <w:szCs w:val="21"/>
              </w:rPr>
              <w:br w:type="textWrapping"/>
            </w:r>
            <w:r>
              <w:rPr>
                <w:rFonts w:hint="eastAsia" w:ascii="仿宋" w:hAnsi="仿宋" w:eastAsia="仿宋" w:cs="宋体"/>
                <w:kern w:val="0"/>
                <w:szCs w:val="21"/>
              </w:rPr>
              <w:t>一键触发全区告警和手动告警功能；</w:t>
            </w:r>
            <w:r>
              <w:rPr>
                <w:rFonts w:hint="eastAsia" w:ascii="仿宋" w:hAnsi="仿宋" w:eastAsia="仿宋" w:cs="宋体"/>
                <w:kern w:val="0"/>
                <w:szCs w:val="21"/>
              </w:rPr>
              <w:br w:type="textWrapping"/>
            </w:r>
            <w:r>
              <w:rPr>
                <w:rFonts w:hint="eastAsia" w:ascii="仿宋" w:hAnsi="仿宋" w:eastAsia="仿宋" w:cs="宋体"/>
                <w:kern w:val="0"/>
                <w:szCs w:val="21"/>
              </w:rPr>
              <w:t>内置10W定阻输出功放与辅助音源输出，输出内容包括监听、节目播放，灵活使用。</w:t>
            </w:r>
            <w:r>
              <w:rPr>
                <w:rFonts w:hint="eastAsia" w:ascii="仿宋" w:hAnsi="仿宋" w:eastAsia="仿宋" w:cs="宋体"/>
                <w:kern w:val="0"/>
                <w:szCs w:val="21"/>
              </w:rPr>
              <w:br w:type="textWrapping"/>
            </w:r>
            <w:r>
              <w:rPr>
                <w:rFonts w:hint="eastAsia" w:ascii="仿宋" w:hAnsi="仿宋" w:eastAsia="仿宋" w:cs="宋体"/>
                <w:kern w:val="0"/>
                <w:szCs w:val="21"/>
              </w:rPr>
              <w:t>分区监听功能，对分区终端的播放状态和音量大小均实时监控操作；</w:t>
            </w:r>
            <w:r>
              <w:rPr>
                <w:rFonts w:hint="eastAsia" w:ascii="仿宋" w:hAnsi="仿宋" w:eastAsia="仿宋" w:cs="宋体"/>
                <w:kern w:val="0"/>
                <w:szCs w:val="21"/>
              </w:rPr>
              <w:br w:type="textWrapping"/>
            </w:r>
            <w:r>
              <w:rPr>
                <w:rFonts w:hint="eastAsia" w:ascii="仿宋" w:hAnsi="仿宋" w:eastAsia="仿宋" w:cs="宋体"/>
                <w:kern w:val="0"/>
                <w:szCs w:val="21"/>
              </w:rPr>
              <w:t>具有录音功能，用户自己制作节目源，可以通过本机录制，也可从远程控制电脑上复制；</w:t>
            </w:r>
            <w:r>
              <w:rPr>
                <w:rFonts w:hint="eastAsia" w:ascii="仿宋" w:hAnsi="仿宋" w:eastAsia="仿宋" w:cs="宋体"/>
                <w:kern w:val="0"/>
                <w:szCs w:val="21"/>
              </w:rPr>
              <w:br w:type="textWrapping"/>
            </w:r>
            <w:r>
              <w:rPr>
                <w:rFonts w:hint="eastAsia" w:ascii="仿宋" w:hAnsi="仿宋" w:eastAsia="仿宋" w:cs="宋体"/>
                <w:kern w:val="0"/>
                <w:szCs w:val="21"/>
              </w:rPr>
              <w:t>具有4个独立的音频输入通道，2个辅助混合音频输入通道，可对网络终端实时播放外置节目源(收音、DVD、无线话筒等)，无需调音台或者前置放大器等设备接入音源；</w:t>
            </w:r>
            <w:r>
              <w:rPr>
                <w:rFonts w:hint="eastAsia" w:ascii="仿宋" w:hAnsi="仿宋" w:eastAsia="仿宋" w:cs="宋体"/>
                <w:kern w:val="0"/>
                <w:szCs w:val="21"/>
              </w:rPr>
              <w:br w:type="textWrapping"/>
            </w:r>
            <w:r>
              <w:rPr>
                <w:rFonts w:hint="eastAsia" w:ascii="仿宋" w:hAnsi="仿宋" w:eastAsia="仿宋" w:cs="宋体"/>
                <w:kern w:val="0"/>
                <w:szCs w:val="21"/>
              </w:rPr>
              <w:t>外置输入音源动态范围大于26DB，可通过硬件、软件调节输入音量。</w:t>
            </w:r>
            <w:r>
              <w:rPr>
                <w:rFonts w:hint="eastAsia" w:ascii="仿宋" w:hAnsi="仿宋" w:eastAsia="仿宋" w:cs="宋体"/>
                <w:kern w:val="0"/>
                <w:szCs w:val="21"/>
              </w:rPr>
              <w:br w:type="textWrapping"/>
            </w:r>
            <w:r>
              <w:rPr>
                <w:rFonts w:hint="eastAsia" w:ascii="仿宋" w:hAnsi="仿宋" w:eastAsia="仿宋" w:cs="宋体"/>
                <w:kern w:val="0"/>
                <w:szCs w:val="21"/>
              </w:rPr>
              <w:t>具有业务、紧急外接话筒输入，分别具有5mV与3mV两个不同电平灵敏度的接口，可外扩无线话筒。</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color w:val="000000"/>
                <w:kern w:val="0"/>
                <w:szCs w:val="21"/>
              </w:rPr>
              <w:t>DSPPA、K-Treasure、Q-Acoustics</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168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3</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DVD播放器</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CD/MP3/MP4/VCD/DVD 播放功能；</w:t>
            </w:r>
            <w:r>
              <w:rPr>
                <w:rFonts w:hint="eastAsia" w:ascii="仿宋" w:hAnsi="仿宋" w:eastAsia="仿宋" w:cs="宋体"/>
                <w:kern w:val="0"/>
                <w:szCs w:val="21"/>
              </w:rPr>
              <w:br w:type="textWrapping"/>
            </w:r>
            <w:r>
              <w:rPr>
                <w:rFonts w:hint="eastAsia" w:ascii="仿宋" w:hAnsi="仿宋" w:eastAsia="仿宋" w:cs="宋体"/>
                <w:kern w:val="0"/>
                <w:szCs w:val="21"/>
              </w:rPr>
              <w:t>高亮度动态 VFD 显示，清晰醒目；</w:t>
            </w:r>
            <w:r>
              <w:rPr>
                <w:rFonts w:hint="eastAsia" w:ascii="仿宋" w:hAnsi="仿宋" w:eastAsia="仿宋" w:cs="宋体"/>
                <w:kern w:val="0"/>
                <w:szCs w:val="21"/>
              </w:rPr>
              <w:br w:type="textWrapping"/>
            </w:r>
            <w:r>
              <w:rPr>
                <w:rFonts w:hint="eastAsia" w:ascii="仿宋" w:hAnsi="仿宋" w:eastAsia="仿宋" w:cs="宋体"/>
                <w:kern w:val="0"/>
                <w:szCs w:val="21"/>
              </w:rPr>
              <w:t>具有曲目直选功能；</w:t>
            </w:r>
            <w:r>
              <w:rPr>
                <w:rFonts w:hint="eastAsia" w:ascii="仿宋" w:hAnsi="仿宋" w:eastAsia="仿宋" w:cs="宋体"/>
                <w:kern w:val="0"/>
                <w:szCs w:val="21"/>
              </w:rPr>
              <w:br w:type="textWrapping"/>
            </w:r>
            <w:r>
              <w:rPr>
                <w:rFonts w:hint="eastAsia" w:ascii="仿宋" w:hAnsi="仿宋" w:eastAsia="仿宋" w:cs="宋体"/>
                <w:kern w:val="0"/>
                <w:szCs w:val="21"/>
              </w:rPr>
              <w:t>具有通电后自动播放功能；</w:t>
            </w:r>
            <w:r>
              <w:rPr>
                <w:rFonts w:hint="eastAsia" w:ascii="仿宋" w:hAnsi="仿宋" w:eastAsia="仿宋" w:cs="宋体"/>
                <w:kern w:val="0"/>
                <w:szCs w:val="21"/>
              </w:rPr>
              <w:br w:type="textWrapping"/>
            </w:r>
            <w:r>
              <w:rPr>
                <w:rFonts w:hint="eastAsia" w:ascii="仿宋" w:hAnsi="仿宋" w:eastAsia="仿宋" w:cs="宋体"/>
                <w:kern w:val="0"/>
                <w:szCs w:val="21"/>
              </w:rPr>
              <w:t>频率响应 20Hz-20kHz（±3dB）</w:t>
            </w:r>
            <w:r>
              <w:rPr>
                <w:rFonts w:hint="eastAsia" w:ascii="仿宋" w:hAnsi="仿宋" w:eastAsia="仿宋" w:cs="宋体"/>
                <w:kern w:val="0"/>
                <w:szCs w:val="21"/>
              </w:rPr>
              <w:br w:type="textWrapping"/>
            </w:r>
            <w:r>
              <w:rPr>
                <w:rFonts w:hint="eastAsia" w:ascii="仿宋" w:hAnsi="仿宋" w:eastAsia="仿宋" w:cs="宋体"/>
                <w:kern w:val="0"/>
                <w:szCs w:val="21"/>
              </w:rPr>
              <w:t>信噪比 90dB</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color w:val="000000"/>
                <w:kern w:val="0"/>
                <w:szCs w:val="21"/>
              </w:rPr>
              <w:t>DSPPA、K-Treasure、Q-Acoustics</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707"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4</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四声前后奏音麦克风</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操作便捷，适应不同；</w:t>
            </w:r>
            <w:r>
              <w:rPr>
                <w:rFonts w:hint="eastAsia" w:ascii="仿宋" w:hAnsi="仿宋" w:eastAsia="仿宋" w:cs="宋体"/>
                <w:kern w:val="0"/>
                <w:szCs w:val="21"/>
              </w:rPr>
              <w:br w:type="textWrapping"/>
            </w:r>
            <w:r>
              <w:rPr>
                <w:rFonts w:hint="eastAsia" w:ascii="仿宋" w:hAnsi="仿宋" w:eastAsia="仿宋" w:cs="宋体"/>
                <w:kern w:val="0"/>
                <w:szCs w:val="21"/>
              </w:rPr>
              <w:t>支持终端即插即用；</w:t>
            </w:r>
            <w:r>
              <w:rPr>
                <w:rFonts w:hint="eastAsia" w:ascii="仿宋" w:hAnsi="仿宋" w:eastAsia="仿宋" w:cs="宋体"/>
                <w:kern w:val="0"/>
                <w:szCs w:val="21"/>
              </w:rPr>
              <w:br w:type="textWrapping"/>
            </w:r>
            <w:r>
              <w:rPr>
                <w:rFonts w:hint="eastAsia" w:ascii="仿宋" w:hAnsi="仿宋" w:eastAsia="仿宋" w:cs="宋体"/>
                <w:kern w:val="0"/>
                <w:szCs w:val="21"/>
              </w:rPr>
              <w:t>具有延时自动关闭功能；</w:t>
            </w:r>
            <w:r>
              <w:rPr>
                <w:rFonts w:hint="eastAsia" w:ascii="仿宋" w:hAnsi="仿宋" w:eastAsia="仿宋" w:cs="宋体"/>
                <w:kern w:val="0"/>
                <w:szCs w:val="21"/>
              </w:rPr>
              <w:br w:type="textWrapping"/>
            </w:r>
            <w:r>
              <w:rPr>
                <w:rFonts w:hint="eastAsia" w:ascii="仿宋" w:hAnsi="仿宋" w:eastAsia="仿宋" w:cs="宋体"/>
                <w:kern w:val="0"/>
                <w:szCs w:val="21"/>
              </w:rPr>
              <w:t>可弯曲式话筒。话筒输出电压600mV±10mV或20mV±10%（非平衡）</w:t>
            </w:r>
            <w:r>
              <w:rPr>
                <w:rFonts w:hint="eastAsia" w:ascii="仿宋" w:hAnsi="仿宋" w:eastAsia="仿宋" w:cs="宋体"/>
                <w:kern w:val="0"/>
                <w:szCs w:val="21"/>
              </w:rPr>
              <w:br w:type="textWrapping"/>
            </w:r>
            <w:r>
              <w:rPr>
                <w:rFonts w:hint="eastAsia" w:ascii="仿宋" w:hAnsi="仿宋" w:eastAsia="仿宋" w:cs="宋体"/>
                <w:kern w:val="0"/>
                <w:szCs w:val="21"/>
              </w:rPr>
              <w:t>钟声额定输出电压600mV±10mV或20mV±10%</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color w:val="000000"/>
                <w:kern w:val="0"/>
                <w:szCs w:val="21"/>
              </w:rPr>
              <w:t>DSPPA、K-Treasure、Q-Acoustics</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274"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5</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IP网络监听音箱</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网络化终端处理器结合高保真扬声器整体化设计的网络化音箱。</w:t>
            </w:r>
            <w:r>
              <w:rPr>
                <w:rFonts w:hint="eastAsia" w:ascii="仿宋" w:hAnsi="仿宋" w:eastAsia="仿宋" w:cs="宋体"/>
                <w:kern w:val="0"/>
                <w:szCs w:val="21"/>
              </w:rPr>
              <w:br w:type="textWrapping"/>
            </w:r>
            <w:r>
              <w:rPr>
                <w:rFonts w:hint="eastAsia" w:ascii="仿宋" w:hAnsi="仿宋" w:eastAsia="仿宋" w:cs="宋体"/>
                <w:kern w:val="0"/>
                <w:szCs w:val="21"/>
              </w:rPr>
              <w:t>双网络接口冗余设计，可跨网段工作。</w:t>
            </w:r>
            <w:r>
              <w:rPr>
                <w:rFonts w:hint="eastAsia" w:ascii="仿宋" w:hAnsi="仿宋" w:eastAsia="仿宋" w:cs="宋体"/>
                <w:kern w:val="0"/>
                <w:szCs w:val="21"/>
              </w:rPr>
              <w:br w:type="textWrapping"/>
            </w:r>
            <w:r>
              <w:rPr>
                <w:rFonts w:hint="eastAsia" w:ascii="仿宋" w:hAnsi="仿宋" w:eastAsia="仿宋" w:cs="宋体"/>
                <w:kern w:val="0"/>
                <w:szCs w:val="21"/>
              </w:rPr>
              <w:t>可挂接在网络到达的任何地方。</w:t>
            </w:r>
            <w:r>
              <w:rPr>
                <w:rFonts w:hint="eastAsia" w:ascii="仿宋" w:hAnsi="仿宋" w:eastAsia="仿宋" w:cs="宋体"/>
                <w:kern w:val="0"/>
                <w:szCs w:val="21"/>
              </w:rPr>
              <w:br w:type="textWrapping"/>
            </w:r>
            <w:r>
              <w:rPr>
                <w:rFonts w:hint="eastAsia" w:ascii="仿宋" w:hAnsi="仿宋" w:eastAsia="仿宋" w:cs="宋体"/>
                <w:kern w:val="0"/>
                <w:szCs w:val="21"/>
              </w:rPr>
              <w:t>具有MP3解码播放功能。</w:t>
            </w:r>
            <w:r>
              <w:rPr>
                <w:rFonts w:hint="eastAsia" w:ascii="仿宋" w:hAnsi="仿宋" w:eastAsia="仿宋" w:cs="宋体"/>
                <w:kern w:val="0"/>
                <w:szCs w:val="21"/>
              </w:rPr>
              <w:br w:type="textWrapping"/>
            </w:r>
            <w:r>
              <w:rPr>
                <w:rFonts w:hint="eastAsia" w:ascii="仿宋" w:hAnsi="仿宋" w:eastAsia="仿宋" w:cs="宋体"/>
                <w:kern w:val="0"/>
                <w:szCs w:val="21"/>
              </w:rPr>
              <w:t>支持最大48kHz采样率16bit数字音频码流解码。</w:t>
            </w:r>
            <w:r>
              <w:rPr>
                <w:rFonts w:hint="eastAsia" w:ascii="仿宋" w:hAnsi="仿宋" w:eastAsia="仿宋" w:cs="宋体"/>
                <w:kern w:val="0"/>
                <w:szCs w:val="21"/>
              </w:rPr>
              <w:br w:type="textWrapping"/>
            </w:r>
            <w:r>
              <w:rPr>
                <w:rFonts w:hint="eastAsia" w:ascii="仿宋" w:hAnsi="仿宋" w:eastAsia="仿宋" w:cs="宋体"/>
                <w:kern w:val="0"/>
                <w:szCs w:val="21"/>
              </w:rPr>
              <w:t>内置2×15W数字功放，低功耗设置。</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color w:val="000000"/>
                <w:kern w:val="0"/>
                <w:szCs w:val="21"/>
              </w:rPr>
              <w:t>DSPPA、K-Treasure、Q-Acoustics</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835"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6</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IP网络报警主机</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网络化公共广播系统与消防中心之间的接口。</w:t>
            </w:r>
            <w:r>
              <w:rPr>
                <w:rFonts w:hint="eastAsia" w:ascii="仿宋" w:hAnsi="仿宋" w:eastAsia="仿宋" w:cs="宋体"/>
                <w:kern w:val="0"/>
                <w:szCs w:val="21"/>
              </w:rPr>
              <w:br w:type="textWrapping"/>
            </w:r>
            <w:r>
              <w:rPr>
                <w:rFonts w:hint="eastAsia" w:ascii="仿宋" w:hAnsi="仿宋" w:eastAsia="仿宋" w:cs="宋体"/>
                <w:kern w:val="0"/>
                <w:szCs w:val="21"/>
              </w:rPr>
              <w:t>当接收到由消防中心发来之警报信号时</w:t>
            </w:r>
            <w:r>
              <w:rPr>
                <w:rFonts w:hint="eastAsia" w:ascii="仿宋" w:hAnsi="仿宋" w:eastAsia="仿宋" w:cs="宋体"/>
                <w:kern w:val="0"/>
                <w:szCs w:val="21"/>
              </w:rPr>
              <w:br w:type="textWrapping"/>
            </w:r>
            <w:r>
              <w:rPr>
                <w:rFonts w:hint="eastAsia" w:ascii="仿宋" w:hAnsi="仿宋" w:eastAsia="仿宋" w:cs="宋体"/>
                <w:kern w:val="0"/>
                <w:szCs w:val="21"/>
              </w:rPr>
              <w:t>每台机有32个消防触发通道，通过主机设置，每个通道的告警分区可任意组合。</w:t>
            </w:r>
            <w:r>
              <w:rPr>
                <w:rFonts w:hint="eastAsia" w:ascii="仿宋" w:hAnsi="仿宋" w:eastAsia="仿宋" w:cs="宋体"/>
                <w:kern w:val="0"/>
                <w:szCs w:val="21"/>
              </w:rPr>
              <w:br w:type="textWrapping"/>
            </w:r>
            <w:r>
              <w:rPr>
                <w:rFonts w:hint="eastAsia" w:ascii="仿宋" w:hAnsi="仿宋" w:eastAsia="仿宋" w:cs="宋体"/>
                <w:kern w:val="0"/>
                <w:szCs w:val="21"/>
              </w:rPr>
              <w:t>每个告警通道均含寻路故障检测功能，自动排查系统线路故障。</w:t>
            </w:r>
            <w:r>
              <w:rPr>
                <w:rFonts w:hint="eastAsia" w:ascii="仿宋" w:hAnsi="仿宋" w:eastAsia="仿宋" w:cs="宋体"/>
                <w:kern w:val="0"/>
                <w:szCs w:val="21"/>
              </w:rPr>
              <w:br w:type="textWrapping"/>
            </w:r>
            <w:r>
              <w:rPr>
                <w:rFonts w:hint="eastAsia" w:ascii="仿宋" w:hAnsi="仿宋" w:eastAsia="仿宋" w:cs="宋体"/>
                <w:kern w:val="0"/>
                <w:szCs w:val="21"/>
              </w:rPr>
              <w:t>同一系统可以有多台机连接于网络，可任意扩展控制区域。</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color w:val="000000"/>
                <w:kern w:val="0"/>
                <w:szCs w:val="21"/>
              </w:rPr>
              <w:t>DSPPA、K-Treasure、Q-Acoustics</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96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7</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IP网络电源管理器</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按顺序开启或关闭16路受控设备的电源；</w:t>
            </w:r>
            <w:r>
              <w:rPr>
                <w:rFonts w:hint="eastAsia" w:ascii="仿宋" w:hAnsi="仿宋" w:eastAsia="仿宋" w:cs="宋体"/>
                <w:kern w:val="0"/>
                <w:szCs w:val="21"/>
              </w:rPr>
              <w:br w:type="textWrapping"/>
            </w:r>
            <w:r>
              <w:rPr>
                <w:rFonts w:hint="eastAsia" w:ascii="仿宋" w:hAnsi="仿宋" w:eastAsia="仿宋" w:cs="宋体"/>
                <w:kern w:val="0"/>
                <w:szCs w:val="21"/>
              </w:rPr>
              <w:t>可以通过定时器自动控制或人工控制；</w:t>
            </w:r>
            <w:r>
              <w:rPr>
                <w:rFonts w:hint="eastAsia" w:ascii="仿宋" w:hAnsi="仿宋" w:eastAsia="仿宋" w:cs="宋体"/>
                <w:kern w:val="0"/>
                <w:szCs w:val="21"/>
              </w:rPr>
              <w:br w:type="textWrapping"/>
            </w:r>
            <w:r>
              <w:rPr>
                <w:rFonts w:hint="eastAsia" w:ascii="仿宋" w:hAnsi="仿宋" w:eastAsia="仿宋" w:cs="宋体"/>
                <w:kern w:val="0"/>
                <w:szCs w:val="21"/>
              </w:rPr>
              <w:t>插座总容量达4.5KVA；</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color w:val="000000"/>
                <w:kern w:val="0"/>
                <w:szCs w:val="21"/>
              </w:rPr>
              <w:t>DSPPA、K-Treasure、Q-Acoustics</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27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8</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42U机柜</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42U高度，19寸标准机柜，2000*600*600(高*宽*深）。</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一舟、图腾、普天天纪</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27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9</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电脑</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八代i3-8100/8G/1T/显示器：19.5英寸，键盘鼠标套装。</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联想、戴尔、惠普</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168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10</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数字化IP网络广播系统 软件</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图形人性化设计，网络播放终端显示图片可定义与更换，应用更灵活。</w:t>
            </w:r>
            <w:r>
              <w:rPr>
                <w:rFonts w:hint="eastAsia" w:ascii="仿宋" w:hAnsi="仿宋" w:eastAsia="仿宋" w:cs="宋体"/>
                <w:kern w:val="0"/>
                <w:szCs w:val="21"/>
              </w:rPr>
              <w:br w:type="textWrapping"/>
            </w:r>
            <w:r>
              <w:rPr>
                <w:rFonts w:hint="eastAsia" w:ascii="仿宋" w:hAnsi="仿宋" w:eastAsia="仿宋" w:cs="宋体"/>
                <w:kern w:val="0"/>
                <w:szCs w:val="21"/>
              </w:rPr>
              <w:t>可查看网络播放终端的工作状态信息（包括在线、离线、播放、停止等信息）。</w:t>
            </w:r>
            <w:r>
              <w:rPr>
                <w:rFonts w:hint="eastAsia" w:ascii="仿宋" w:hAnsi="仿宋" w:eastAsia="仿宋" w:cs="宋体"/>
                <w:kern w:val="0"/>
                <w:szCs w:val="21"/>
              </w:rPr>
              <w:br w:type="textWrapping"/>
            </w:r>
            <w:r>
              <w:rPr>
                <w:rFonts w:hint="eastAsia" w:ascii="仿宋" w:hAnsi="仿宋" w:eastAsia="仿宋" w:cs="宋体"/>
                <w:kern w:val="0"/>
                <w:szCs w:val="21"/>
              </w:rPr>
              <w:t>可对网络播放终端分组编辑功能。</w:t>
            </w:r>
            <w:r>
              <w:rPr>
                <w:rFonts w:hint="eastAsia" w:ascii="仿宋" w:hAnsi="仿宋" w:eastAsia="仿宋" w:cs="宋体"/>
                <w:kern w:val="0"/>
                <w:szCs w:val="21"/>
              </w:rPr>
              <w:br w:type="textWrapping"/>
            </w:r>
            <w:r>
              <w:rPr>
                <w:rFonts w:hint="eastAsia" w:ascii="仿宋" w:hAnsi="仿宋" w:eastAsia="仿宋" w:cs="宋体"/>
                <w:kern w:val="0"/>
                <w:szCs w:val="21"/>
              </w:rPr>
              <w:t>可下载查看程控定时点的内容,并可导入、导出定时点内容。</w:t>
            </w:r>
            <w:r>
              <w:rPr>
                <w:rFonts w:hint="eastAsia" w:ascii="仿宋" w:hAnsi="仿宋" w:eastAsia="仿宋" w:cs="宋体"/>
                <w:kern w:val="0"/>
                <w:szCs w:val="21"/>
              </w:rPr>
              <w:br w:type="textWrapping"/>
            </w:r>
            <w:r>
              <w:rPr>
                <w:rFonts w:hint="eastAsia" w:ascii="仿宋" w:hAnsi="仿宋" w:eastAsia="仿宋" w:cs="宋体"/>
                <w:kern w:val="0"/>
                <w:szCs w:val="21"/>
              </w:rPr>
              <w:t>可上传本地音频节目到网络化主机，以供播放使用。</w:t>
            </w:r>
            <w:r>
              <w:rPr>
                <w:rFonts w:hint="eastAsia" w:ascii="仿宋" w:hAnsi="仿宋" w:eastAsia="仿宋" w:cs="宋体"/>
                <w:kern w:val="0"/>
                <w:szCs w:val="21"/>
              </w:rPr>
              <w:br w:type="textWrapping"/>
            </w:r>
            <w:r>
              <w:rPr>
                <w:rFonts w:hint="eastAsia" w:ascii="仿宋" w:hAnsi="仿宋" w:eastAsia="仿宋" w:cs="宋体"/>
                <w:kern w:val="0"/>
                <w:szCs w:val="21"/>
              </w:rPr>
              <w:t>可远程调节网络播放终端音量,播放\停止网络播放终端等操作功能.</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color w:val="000000"/>
                <w:kern w:val="0"/>
                <w:szCs w:val="21"/>
              </w:rPr>
              <w:t>DSPPA、K-Treasure、Q-Acoustics</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套</w:t>
            </w:r>
          </w:p>
        </w:tc>
      </w:tr>
      <w:tr>
        <w:tblPrEx>
          <w:tblLayout w:type="fixed"/>
          <w:tblCellMar>
            <w:top w:w="0" w:type="dxa"/>
            <w:left w:w="108" w:type="dxa"/>
            <w:bottom w:w="0" w:type="dxa"/>
            <w:right w:w="108" w:type="dxa"/>
          </w:tblCellMar>
        </w:tblPrEx>
        <w:trPr>
          <w:trHeight w:val="849"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11</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IP网络远程寻呼站</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支持100/10Mbps自适应TCP/IP网络传输协议；</w:t>
            </w:r>
            <w:r>
              <w:rPr>
                <w:rFonts w:hint="eastAsia" w:ascii="仿宋" w:hAnsi="仿宋" w:eastAsia="仿宋" w:cs="宋体"/>
                <w:kern w:val="0"/>
                <w:szCs w:val="21"/>
              </w:rPr>
              <w:br w:type="textWrapping"/>
            </w:r>
            <w:r>
              <w:rPr>
                <w:rFonts w:hint="eastAsia" w:ascii="仿宋" w:hAnsi="仿宋" w:eastAsia="仿宋" w:cs="宋体"/>
                <w:kern w:val="0"/>
                <w:szCs w:val="21"/>
              </w:rPr>
              <w:t>采用7寸真彩触摸彩屏、铝合金高档拉丝工业面板设计。</w:t>
            </w:r>
            <w:r>
              <w:rPr>
                <w:rFonts w:hint="eastAsia" w:ascii="仿宋" w:hAnsi="仿宋" w:eastAsia="仿宋" w:cs="宋体"/>
                <w:kern w:val="0"/>
                <w:szCs w:val="21"/>
              </w:rPr>
              <w:br w:type="textWrapping"/>
            </w:r>
            <w:r>
              <w:rPr>
                <w:rFonts w:hint="eastAsia" w:ascii="仿宋" w:hAnsi="仿宋" w:eastAsia="仿宋" w:cs="宋体"/>
                <w:kern w:val="0"/>
                <w:szCs w:val="21"/>
              </w:rPr>
              <w:t>桌面式结构设计。</w:t>
            </w:r>
            <w:r>
              <w:rPr>
                <w:rFonts w:hint="eastAsia" w:ascii="仿宋" w:hAnsi="仿宋" w:eastAsia="仿宋" w:cs="宋体"/>
                <w:kern w:val="0"/>
                <w:szCs w:val="21"/>
              </w:rPr>
              <w:br w:type="textWrapping"/>
            </w:r>
            <w:r>
              <w:rPr>
                <w:rFonts w:hint="eastAsia" w:ascii="仿宋" w:hAnsi="仿宋" w:eastAsia="仿宋" w:cs="宋体"/>
                <w:kern w:val="0"/>
                <w:szCs w:val="21"/>
              </w:rPr>
              <w:t>采用高保真与手持式动圈话筒设计。</w:t>
            </w:r>
            <w:r>
              <w:rPr>
                <w:rFonts w:hint="eastAsia" w:ascii="仿宋" w:hAnsi="仿宋" w:eastAsia="仿宋" w:cs="宋体"/>
                <w:kern w:val="0"/>
                <w:szCs w:val="21"/>
              </w:rPr>
              <w:br w:type="textWrapping"/>
            </w:r>
            <w:r>
              <w:rPr>
                <w:rFonts w:hint="eastAsia" w:ascii="仿宋" w:hAnsi="仿宋" w:eastAsia="仿宋" w:cs="宋体"/>
                <w:kern w:val="0"/>
                <w:szCs w:val="21"/>
              </w:rPr>
              <w:t>具有多段电平指示功能，讲话声压更直观。</w:t>
            </w:r>
            <w:r>
              <w:rPr>
                <w:rFonts w:hint="eastAsia" w:ascii="仿宋" w:hAnsi="仿宋" w:eastAsia="仿宋" w:cs="宋体"/>
                <w:kern w:val="0"/>
                <w:szCs w:val="21"/>
              </w:rPr>
              <w:br w:type="textWrapping"/>
            </w:r>
            <w:r>
              <w:rPr>
                <w:rFonts w:hint="eastAsia" w:ascii="仿宋" w:hAnsi="仿宋" w:eastAsia="仿宋" w:cs="宋体"/>
                <w:kern w:val="0"/>
                <w:szCs w:val="21"/>
              </w:rPr>
              <w:t>带有手动快捷按键，方便紧要时快速寻呼。</w:t>
            </w:r>
            <w:r>
              <w:rPr>
                <w:rFonts w:hint="eastAsia" w:ascii="仿宋" w:hAnsi="仿宋" w:eastAsia="仿宋" w:cs="宋体"/>
                <w:kern w:val="0"/>
                <w:szCs w:val="21"/>
              </w:rPr>
              <w:br w:type="textWrapping"/>
            </w:r>
            <w:r>
              <w:rPr>
                <w:rFonts w:hint="eastAsia" w:ascii="仿宋" w:hAnsi="仿宋" w:eastAsia="仿宋" w:cs="宋体"/>
                <w:kern w:val="0"/>
                <w:szCs w:val="21"/>
              </w:rPr>
              <w:t>内置3W监听扬声器，方便预听节目与对讲使用。</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color w:val="000000"/>
                <w:kern w:val="0"/>
                <w:szCs w:val="21"/>
              </w:rPr>
              <w:t>DSPPA、K-Treasure、Q-Acoustics</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41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12</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IP网络功放（500W）</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采用高档铝合金拉丝面板制造。</w:t>
            </w:r>
            <w:r>
              <w:rPr>
                <w:rFonts w:hint="eastAsia" w:ascii="仿宋" w:hAnsi="仿宋" w:eastAsia="仿宋" w:cs="宋体"/>
                <w:kern w:val="0"/>
                <w:szCs w:val="21"/>
              </w:rPr>
              <w:br w:type="textWrapping"/>
            </w:r>
            <w:r>
              <w:rPr>
                <w:rFonts w:hint="eastAsia" w:ascii="仿宋" w:hAnsi="仿宋" w:eastAsia="仿宋" w:cs="宋体"/>
                <w:kern w:val="0"/>
                <w:szCs w:val="21"/>
              </w:rPr>
              <w:t>可挂接在网络到达的任何地方,采用DSPPA网络自主研发的网络传输协议，动态音频数据传输。双网络接口冗余设计，可跨网段工作。</w:t>
            </w:r>
            <w:r>
              <w:rPr>
                <w:rFonts w:hint="eastAsia" w:ascii="仿宋" w:hAnsi="仿宋" w:eastAsia="仿宋" w:cs="宋体"/>
                <w:kern w:val="0"/>
                <w:szCs w:val="21"/>
              </w:rPr>
              <w:br w:type="textWrapping"/>
            </w:r>
            <w:r>
              <w:rPr>
                <w:rFonts w:hint="eastAsia" w:ascii="仿宋" w:hAnsi="仿宋" w:eastAsia="仿宋" w:cs="宋体"/>
                <w:kern w:val="0"/>
                <w:szCs w:val="21"/>
              </w:rPr>
              <w:t>内置高效率数字功放，100V定压输出，效率高达90%以上。</w:t>
            </w:r>
            <w:r>
              <w:rPr>
                <w:rFonts w:hint="eastAsia" w:ascii="仿宋" w:hAnsi="仿宋" w:eastAsia="仿宋" w:cs="宋体"/>
                <w:kern w:val="0"/>
                <w:szCs w:val="21"/>
              </w:rPr>
              <w:br w:type="textWrapping"/>
            </w:r>
            <w:r>
              <w:rPr>
                <w:rFonts w:hint="eastAsia" w:ascii="仿宋" w:hAnsi="仿宋" w:eastAsia="仿宋" w:cs="宋体"/>
                <w:kern w:val="0"/>
                <w:szCs w:val="21"/>
              </w:rPr>
              <w:t>自带MP3播放器，设有USB插口、SD插口，用以播放本地节目。</w:t>
            </w:r>
            <w:r>
              <w:rPr>
                <w:rFonts w:hint="eastAsia" w:ascii="仿宋" w:hAnsi="仿宋" w:eastAsia="仿宋" w:cs="宋体"/>
                <w:kern w:val="0"/>
                <w:szCs w:val="21"/>
              </w:rPr>
              <w:br w:type="textWrapping"/>
            </w:r>
            <w:r>
              <w:rPr>
                <w:rFonts w:hint="eastAsia" w:ascii="仿宋" w:hAnsi="仿宋" w:eastAsia="仿宋" w:cs="宋体"/>
                <w:kern w:val="0"/>
                <w:szCs w:val="21"/>
              </w:rPr>
              <w:t>功放额定输出功率：650W</w:t>
            </w:r>
            <w:r>
              <w:rPr>
                <w:rFonts w:hint="eastAsia" w:ascii="仿宋" w:hAnsi="仿宋" w:eastAsia="仿宋" w:cs="宋体"/>
                <w:kern w:val="0"/>
                <w:szCs w:val="21"/>
              </w:rPr>
              <w:br w:type="textWrapping"/>
            </w:r>
            <w:r>
              <w:rPr>
                <w:rFonts w:hint="eastAsia" w:ascii="仿宋" w:hAnsi="仿宋" w:eastAsia="仿宋" w:cs="宋体"/>
                <w:kern w:val="0"/>
                <w:szCs w:val="21"/>
              </w:rPr>
              <w:t>醒目的数码显示屏设计，既可显示时钟时间，也可显示播放进度时间。</w:t>
            </w:r>
            <w:r>
              <w:rPr>
                <w:rFonts w:hint="eastAsia" w:ascii="仿宋" w:hAnsi="仿宋" w:eastAsia="仿宋" w:cs="宋体"/>
                <w:kern w:val="0"/>
                <w:szCs w:val="21"/>
              </w:rPr>
              <w:br w:type="textWrapping"/>
            </w:r>
            <w:r>
              <w:rPr>
                <w:rFonts w:hint="eastAsia" w:ascii="仿宋" w:hAnsi="仿宋" w:eastAsia="仿宋" w:cs="宋体"/>
                <w:kern w:val="0"/>
                <w:szCs w:val="21"/>
              </w:rPr>
              <w:t>具有时间帧同步机制，本机时钟与网络化主机时钟实时同步。</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D</w:t>
            </w:r>
            <w:r>
              <w:rPr>
                <w:rFonts w:hint="eastAsia" w:ascii="仿宋" w:hAnsi="仿宋" w:eastAsia="仿宋" w:cs="宋体"/>
                <w:color w:val="000000"/>
                <w:kern w:val="0"/>
                <w:szCs w:val="21"/>
              </w:rPr>
              <w:t xml:space="preserve"> DSPPA、K-Treasure、Q-Acoustics</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16</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1440" w:hRule="atLeast"/>
        </w:trPr>
        <w:tc>
          <w:tcPr>
            <w:tcW w:w="53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13</w:t>
            </w:r>
          </w:p>
        </w:tc>
        <w:tc>
          <w:tcPr>
            <w:tcW w:w="978"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IP网络音频解码器</w:t>
            </w:r>
          </w:p>
        </w:tc>
        <w:tc>
          <w:tcPr>
            <w:tcW w:w="4516"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内置网络解码模块可实时播放网络音乐，可单向接收广播呼叫等；</w:t>
            </w:r>
            <w:r>
              <w:rPr>
                <w:rFonts w:hint="eastAsia" w:ascii="仿宋" w:hAnsi="仿宋" w:eastAsia="仿宋" w:cs="宋体"/>
                <w:kern w:val="0"/>
                <w:szCs w:val="21"/>
              </w:rPr>
              <w:br w:type="textWrapping"/>
            </w:r>
            <w:r>
              <w:rPr>
                <w:rFonts w:hint="eastAsia" w:ascii="仿宋" w:hAnsi="仿宋" w:eastAsia="仿宋" w:cs="宋体"/>
                <w:kern w:val="0"/>
                <w:szCs w:val="21"/>
              </w:rPr>
              <w:t>两路线输出，外接功率放大器或有源音箱；</w:t>
            </w:r>
            <w:r>
              <w:rPr>
                <w:rFonts w:hint="eastAsia" w:ascii="仿宋" w:hAnsi="仿宋" w:eastAsia="仿宋" w:cs="宋体"/>
                <w:kern w:val="0"/>
                <w:szCs w:val="21"/>
              </w:rPr>
              <w:br w:type="textWrapping"/>
            </w:r>
            <w:r>
              <w:rPr>
                <w:rFonts w:hint="eastAsia" w:ascii="仿宋" w:hAnsi="仿宋" w:eastAsia="仿宋" w:cs="宋体"/>
                <w:kern w:val="0"/>
                <w:szCs w:val="21"/>
              </w:rPr>
              <w:t>可以适应不同地方的网络地址修改；</w:t>
            </w:r>
            <w:r>
              <w:rPr>
                <w:rFonts w:hint="eastAsia" w:ascii="仿宋" w:hAnsi="仿宋" w:eastAsia="仿宋" w:cs="宋体"/>
                <w:kern w:val="0"/>
                <w:szCs w:val="21"/>
              </w:rPr>
              <w:br w:type="textWrapping"/>
            </w:r>
            <w:r>
              <w:rPr>
                <w:rFonts w:hint="eastAsia" w:ascii="仿宋" w:hAnsi="仿宋" w:eastAsia="仿宋" w:cs="宋体"/>
                <w:kern w:val="0"/>
                <w:szCs w:val="21"/>
              </w:rPr>
              <w:t>有以太网口的地方即可接入，支持跨网段和跨路由。</w:t>
            </w:r>
            <w:r>
              <w:rPr>
                <w:rFonts w:hint="eastAsia" w:ascii="仿宋" w:hAnsi="仿宋" w:eastAsia="仿宋" w:cs="宋体"/>
                <w:kern w:val="0"/>
                <w:szCs w:val="21"/>
              </w:rPr>
              <w:br w:type="textWrapping"/>
            </w:r>
            <w:r>
              <w:rPr>
                <w:rFonts w:hint="eastAsia" w:ascii="仿宋" w:hAnsi="仿宋" w:eastAsia="仿宋" w:cs="宋体"/>
                <w:kern w:val="0"/>
                <w:szCs w:val="21"/>
              </w:rPr>
              <w:t>双网络接口设计标准RJ45输入；能够手拉手级链，方便机框安装支持协议TCP/IP协议；音频格式MP3/MP2；</w:t>
            </w:r>
          </w:p>
        </w:tc>
        <w:tc>
          <w:tcPr>
            <w:tcW w:w="147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color w:val="000000"/>
                <w:kern w:val="0"/>
                <w:szCs w:val="21"/>
              </w:rPr>
              <w:t>DSPPA、K-Treasure、Q-Acoustics</w:t>
            </w:r>
          </w:p>
        </w:tc>
        <w:tc>
          <w:tcPr>
            <w:tcW w:w="633"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33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1680" w:hRule="atLeast"/>
        </w:trPr>
        <w:tc>
          <w:tcPr>
            <w:tcW w:w="53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14</w:t>
            </w:r>
          </w:p>
        </w:tc>
        <w:tc>
          <w:tcPr>
            <w:tcW w:w="978"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前置放大器</w:t>
            </w:r>
          </w:p>
        </w:tc>
        <w:tc>
          <w:tcPr>
            <w:tcW w:w="4516"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多种、多个输入/输出口：5 个话筒口；3 个辅助口；2 个优先口；2 个输出。</w:t>
            </w:r>
            <w:r>
              <w:rPr>
                <w:rFonts w:hint="eastAsia" w:ascii="仿宋" w:hAnsi="仿宋" w:eastAsia="仿宋" w:cs="宋体"/>
                <w:kern w:val="0"/>
                <w:szCs w:val="21"/>
              </w:rPr>
              <w:br w:type="textWrapping"/>
            </w:r>
            <w:r>
              <w:rPr>
                <w:rFonts w:hint="eastAsia" w:ascii="仿宋" w:hAnsi="仿宋" w:eastAsia="仿宋" w:cs="宋体"/>
                <w:kern w:val="0"/>
                <w:szCs w:val="21"/>
              </w:rPr>
              <w:t>各通道独立音量控制。</w:t>
            </w:r>
            <w:r>
              <w:rPr>
                <w:rFonts w:hint="eastAsia" w:ascii="仿宋" w:hAnsi="仿宋" w:eastAsia="仿宋" w:cs="宋体"/>
                <w:kern w:val="0"/>
                <w:szCs w:val="21"/>
              </w:rPr>
              <w:br w:type="textWrapping"/>
            </w:r>
            <w:r>
              <w:rPr>
                <w:rFonts w:hint="eastAsia" w:ascii="仿宋" w:hAnsi="仿宋" w:eastAsia="仿宋" w:cs="宋体"/>
                <w:kern w:val="0"/>
                <w:szCs w:val="21"/>
              </w:rPr>
              <w:t>高音和低音音调控制。</w:t>
            </w:r>
            <w:r>
              <w:rPr>
                <w:rFonts w:hint="eastAsia" w:ascii="仿宋" w:hAnsi="仿宋" w:eastAsia="仿宋" w:cs="宋体"/>
                <w:kern w:val="0"/>
                <w:szCs w:val="21"/>
              </w:rPr>
              <w:br w:type="textWrapping"/>
            </w:r>
            <w:r>
              <w:rPr>
                <w:rFonts w:hint="eastAsia" w:ascii="仿宋" w:hAnsi="仿宋" w:eastAsia="仿宋" w:cs="宋体"/>
                <w:kern w:val="0"/>
                <w:szCs w:val="21"/>
              </w:rPr>
              <w:t>自动默音（有强插功能）。</w:t>
            </w:r>
            <w:r>
              <w:rPr>
                <w:rFonts w:hint="eastAsia" w:ascii="仿宋" w:hAnsi="仿宋" w:eastAsia="仿宋" w:cs="宋体"/>
                <w:kern w:val="0"/>
                <w:szCs w:val="21"/>
              </w:rPr>
              <w:br w:type="textWrapping"/>
            </w:r>
            <w:r>
              <w:rPr>
                <w:rFonts w:hint="eastAsia" w:ascii="仿宋" w:hAnsi="仿宋" w:eastAsia="仿宋" w:cs="宋体"/>
                <w:kern w:val="0"/>
                <w:szCs w:val="21"/>
              </w:rPr>
              <w:t>最小源电动势 Mic ：≤3.2mV, 不平衡  Aux : ≤300mV 不平衡  EMC：≤450mV</w:t>
            </w:r>
          </w:p>
        </w:tc>
        <w:tc>
          <w:tcPr>
            <w:tcW w:w="147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color w:val="000000"/>
                <w:kern w:val="0"/>
                <w:szCs w:val="21"/>
              </w:rPr>
              <w:t>DSPPA、K-Treasure、Q-Acoustics</w:t>
            </w:r>
          </w:p>
        </w:tc>
        <w:tc>
          <w:tcPr>
            <w:tcW w:w="633"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33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960" w:hRule="atLeast"/>
        </w:trPr>
        <w:tc>
          <w:tcPr>
            <w:tcW w:w="53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15</w:t>
            </w:r>
          </w:p>
        </w:tc>
        <w:tc>
          <w:tcPr>
            <w:tcW w:w="978"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纯后级功放1000W</w:t>
            </w:r>
          </w:p>
        </w:tc>
        <w:tc>
          <w:tcPr>
            <w:tcW w:w="4516"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100伏,70伏1000W定压输出和4欧平衡输出（不接地）；</w:t>
            </w:r>
            <w:r>
              <w:rPr>
                <w:rFonts w:hint="eastAsia" w:ascii="仿宋" w:hAnsi="仿宋" w:eastAsia="仿宋" w:cs="宋体"/>
                <w:kern w:val="0"/>
                <w:szCs w:val="21"/>
              </w:rPr>
              <w:br w:type="textWrapping"/>
            </w:r>
            <w:r>
              <w:rPr>
                <w:rFonts w:hint="eastAsia" w:ascii="仿宋" w:hAnsi="仿宋" w:eastAsia="仿宋" w:cs="宋体"/>
                <w:kern w:val="0"/>
                <w:szCs w:val="21"/>
              </w:rPr>
              <w:t>5单位LED显示器，作状态显示；</w:t>
            </w:r>
            <w:r>
              <w:rPr>
                <w:rFonts w:hint="eastAsia" w:ascii="仿宋" w:hAnsi="仿宋" w:eastAsia="仿宋" w:cs="宋体"/>
                <w:kern w:val="0"/>
                <w:szCs w:val="21"/>
              </w:rPr>
              <w:br w:type="textWrapping"/>
            </w:r>
            <w:r>
              <w:rPr>
                <w:rFonts w:hint="eastAsia" w:ascii="仿宋" w:hAnsi="仿宋" w:eastAsia="仿宋" w:cs="宋体"/>
                <w:kern w:val="0"/>
                <w:szCs w:val="21"/>
              </w:rPr>
              <w:t>RCA插口和XLR插口供方便地实现环接；</w:t>
            </w:r>
            <w:r>
              <w:rPr>
                <w:rFonts w:hint="eastAsia" w:ascii="仿宋" w:hAnsi="仿宋" w:eastAsia="仿宋" w:cs="宋体"/>
                <w:kern w:val="0"/>
                <w:szCs w:val="21"/>
              </w:rPr>
              <w:br w:type="textWrapping"/>
            </w:r>
            <w:r>
              <w:rPr>
                <w:rFonts w:hint="eastAsia" w:ascii="仿宋" w:hAnsi="仿宋" w:eastAsia="仿宋" w:cs="宋体"/>
                <w:kern w:val="0"/>
                <w:szCs w:val="21"/>
              </w:rPr>
              <w:t>输出短路保护并示警；</w:t>
            </w:r>
          </w:p>
        </w:tc>
        <w:tc>
          <w:tcPr>
            <w:tcW w:w="147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color w:val="000000"/>
                <w:kern w:val="0"/>
                <w:szCs w:val="21"/>
              </w:rPr>
              <w:t>DSPPA、K-Treasure、Q-Acoustics</w:t>
            </w:r>
          </w:p>
        </w:tc>
        <w:tc>
          <w:tcPr>
            <w:tcW w:w="633"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33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960" w:hRule="atLeast"/>
        </w:trPr>
        <w:tc>
          <w:tcPr>
            <w:tcW w:w="53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16</w:t>
            </w:r>
          </w:p>
        </w:tc>
        <w:tc>
          <w:tcPr>
            <w:tcW w:w="978"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草坪音箱（仿真石头20W）</w:t>
            </w:r>
          </w:p>
        </w:tc>
        <w:tc>
          <w:tcPr>
            <w:tcW w:w="4516"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优质树脂制成，机械强度高，造型优美，置于室外草地，品味一流；</w:t>
            </w:r>
            <w:r>
              <w:rPr>
                <w:rFonts w:hint="eastAsia" w:ascii="仿宋" w:hAnsi="仿宋" w:eastAsia="仿宋" w:cs="宋体"/>
                <w:kern w:val="0"/>
                <w:szCs w:val="21"/>
              </w:rPr>
              <w:br w:type="textWrapping"/>
            </w:r>
            <w:r>
              <w:rPr>
                <w:rFonts w:hint="eastAsia" w:ascii="仿宋" w:hAnsi="仿宋" w:eastAsia="仿宋" w:cs="宋体"/>
                <w:kern w:val="0"/>
                <w:szCs w:val="21"/>
              </w:rPr>
              <w:t>工作电压70/100V，功率20 ~ 40W（多个配接端子），适应不同场合；</w:t>
            </w:r>
            <w:r>
              <w:rPr>
                <w:rFonts w:hint="eastAsia" w:ascii="仿宋" w:hAnsi="仿宋" w:eastAsia="仿宋" w:cs="宋体"/>
                <w:kern w:val="0"/>
                <w:szCs w:val="21"/>
              </w:rPr>
              <w:br w:type="textWrapping"/>
            </w:r>
            <w:r>
              <w:rPr>
                <w:rFonts w:hint="eastAsia" w:ascii="仿宋" w:hAnsi="仿宋" w:eastAsia="仿宋" w:cs="宋体"/>
                <w:kern w:val="0"/>
                <w:szCs w:val="21"/>
              </w:rPr>
              <w:t>最大声压级 100±2dB，</w:t>
            </w:r>
            <w:r>
              <w:rPr>
                <w:rFonts w:hint="eastAsia" w:ascii="仿宋" w:hAnsi="仿宋" w:eastAsia="仿宋" w:cs="宋体"/>
                <w:kern w:val="0"/>
                <w:szCs w:val="21"/>
              </w:rPr>
              <w:br w:type="textWrapping"/>
            </w:r>
            <w:r>
              <w:rPr>
                <w:rFonts w:hint="eastAsia" w:ascii="仿宋" w:hAnsi="仿宋" w:eastAsia="仿宋" w:cs="宋体"/>
                <w:kern w:val="0"/>
                <w:szCs w:val="21"/>
              </w:rPr>
              <w:t>有效频率范围 100Hz ~ 15500Hz；</w:t>
            </w:r>
          </w:p>
        </w:tc>
        <w:tc>
          <w:tcPr>
            <w:tcW w:w="147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color w:val="000000"/>
                <w:kern w:val="0"/>
                <w:szCs w:val="21"/>
              </w:rPr>
              <w:t>DSPPA、K-Treasure、Q-Acoustics</w:t>
            </w:r>
          </w:p>
        </w:tc>
        <w:tc>
          <w:tcPr>
            <w:tcW w:w="633"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138</w:t>
            </w:r>
          </w:p>
        </w:tc>
        <w:tc>
          <w:tcPr>
            <w:tcW w:w="33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只</w:t>
            </w:r>
          </w:p>
        </w:tc>
      </w:tr>
      <w:tr>
        <w:tblPrEx>
          <w:tblLayout w:type="fixed"/>
          <w:tblCellMar>
            <w:top w:w="0" w:type="dxa"/>
            <w:left w:w="108" w:type="dxa"/>
            <w:bottom w:w="0" w:type="dxa"/>
            <w:right w:w="108" w:type="dxa"/>
          </w:tblCellMar>
        </w:tblPrEx>
        <w:trPr>
          <w:trHeight w:val="168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17</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室外音柱(30W)</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工作电压70/100V，功率30～60W,多个配接端子，适应不同场合；</w:t>
            </w:r>
            <w:r>
              <w:rPr>
                <w:rFonts w:hint="eastAsia" w:ascii="仿宋" w:hAnsi="仿宋" w:eastAsia="仿宋" w:cs="宋体"/>
                <w:kern w:val="0"/>
                <w:szCs w:val="21"/>
              </w:rPr>
              <w:br w:type="textWrapping"/>
            </w:r>
            <w:r>
              <w:rPr>
                <w:rFonts w:hint="eastAsia" w:ascii="仿宋" w:hAnsi="仿宋" w:eastAsia="仿宋" w:cs="宋体"/>
                <w:kern w:val="0"/>
                <w:szCs w:val="21"/>
              </w:rPr>
              <w:t>最大声压级达106±2dB，有效频率范围宽达140Hz~14kHz；</w:t>
            </w:r>
            <w:r>
              <w:rPr>
                <w:rFonts w:hint="eastAsia" w:ascii="仿宋" w:hAnsi="仿宋" w:eastAsia="仿宋" w:cs="宋体"/>
                <w:kern w:val="0"/>
                <w:szCs w:val="21"/>
              </w:rPr>
              <w:br w:type="textWrapping"/>
            </w:r>
            <w:r>
              <w:rPr>
                <w:rFonts w:hint="eastAsia" w:ascii="仿宋" w:hAnsi="仿宋" w:eastAsia="仿宋" w:cs="宋体"/>
                <w:kern w:val="0"/>
                <w:szCs w:val="21"/>
              </w:rPr>
              <w:t>全天候设计，金黄色外观，铝网，选用防水单元，铝合金材质网罩，永不生锈；室内外均宜，，寿命长，</w:t>
            </w:r>
            <w:r>
              <w:rPr>
                <w:rFonts w:hint="eastAsia" w:ascii="仿宋" w:hAnsi="仿宋" w:eastAsia="仿宋" w:cs="宋体"/>
                <w:kern w:val="0"/>
                <w:szCs w:val="21"/>
              </w:rPr>
              <w:br w:type="textWrapping"/>
            </w:r>
            <w:r>
              <w:rPr>
                <w:rFonts w:hint="eastAsia" w:ascii="仿宋" w:hAnsi="仿宋" w:eastAsia="仿宋" w:cs="宋体"/>
                <w:kern w:val="0"/>
                <w:szCs w:val="21"/>
              </w:rPr>
              <w:t>喇叭单元4"全频扬声器x1,2.5"高音扬声器x1；灵敏度高(89±2dB)，声音清晰、明亮。</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color w:val="000000"/>
                <w:kern w:val="0"/>
                <w:szCs w:val="21"/>
              </w:rPr>
              <w:t>DSPPA、K-Treasure、Q-Acoustics</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48</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只</w:t>
            </w:r>
          </w:p>
        </w:tc>
      </w:tr>
      <w:tr>
        <w:tblPrEx>
          <w:tblLayout w:type="fixed"/>
          <w:tblCellMar>
            <w:top w:w="0" w:type="dxa"/>
            <w:left w:w="108" w:type="dxa"/>
            <w:bottom w:w="0" w:type="dxa"/>
            <w:right w:w="108" w:type="dxa"/>
          </w:tblCellMar>
        </w:tblPrEx>
        <w:trPr>
          <w:trHeight w:val="1014"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18</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莲花头对6.35头音频线</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1.2米</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一舟、TCL罗格朗、赛格</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23</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条</w:t>
            </w:r>
          </w:p>
        </w:tc>
      </w:tr>
      <w:tr>
        <w:tblPrEx>
          <w:tblLayout w:type="fixed"/>
          <w:tblCellMar>
            <w:top w:w="0" w:type="dxa"/>
            <w:left w:w="108" w:type="dxa"/>
            <w:bottom w:w="0" w:type="dxa"/>
            <w:right w:w="108" w:type="dxa"/>
          </w:tblCellMar>
        </w:tblPrEx>
        <w:trPr>
          <w:trHeight w:val="27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19</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水晶头</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水晶头</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一舟、TCL罗格朗、赛格</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盒</w:t>
            </w:r>
          </w:p>
        </w:tc>
      </w:tr>
      <w:tr>
        <w:tblPrEx>
          <w:tblLayout w:type="fixed"/>
          <w:tblCellMar>
            <w:top w:w="0" w:type="dxa"/>
            <w:left w:w="108" w:type="dxa"/>
            <w:bottom w:w="0" w:type="dxa"/>
            <w:right w:w="108" w:type="dxa"/>
          </w:tblCellMar>
        </w:tblPrEx>
        <w:trPr>
          <w:trHeight w:val="27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20</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网线</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ascii="仿宋" w:hAnsi="仿宋" w:eastAsia="仿宋" w:cs="宋体"/>
                <w:kern w:val="0"/>
                <w:szCs w:val="21"/>
              </w:rPr>
              <w:t>C</w:t>
            </w:r>
            <w:r>
              <w:rPr>
                <w:rFonts w:hint="eastAsia" w:ascii="仿宋" w:hAnsi="仿宋" w:eastAsia="仿宋" w:cs="宋体"/>
                <w:kern w:val="0"/>
                <w:szCs w:val="21"/>
              </w:rPr>
              <w:t>at5E</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一舟、TCL罗格朗、赛格</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6200</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米</w:t>
            </w:r>
          </w:p>
        </w:tc>
      </w:tr>
      <w:tr>
        <w:tblPrEx>
          <w:tblLayout w:type="fixed"/>
          <w:tblCellMar>
            <w:top w:w="0" w:type="dxa"/>
            <w:left w:w="108" w:type="dxa"/>
            <w:bottom w:w="0" w:type="dxa"/>
            <w:right w:w="108" w:type="dxa"/>
          </w:tblCellMar>
        </w:tblPrEx>
        <w:trPr>
          <w:trHeight w:val="72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21</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广播专用音箱线（用于室外）</w:t>
            </w:r>
          </w:p>
        </w:tc>
        <w:tc>
          <w:tcPr>
            <w:tcW w:w="4516" w:type="dxa"/>
            <w:tcBorders>
              <w:top w:val="nil"/>
              <w:left w:val="nil"/>
              <w:bottom w:val="single" w:color="auto" w:sz="4" w:space="0"/>
              <w:right w:val="single" w:color="auto" w:sz="4" w:space="0"/>
            </w:tcBorders>
            <w:shd w:val="clear" w:color="000000" w:fill="FFFFFF"/>
            <w:vAlign w:val="center"/>
          </w:tcPr>
          <w:p>
            <w:pPr>
              <w:widowControl/>
              <w:rPr>
                <w:rFonts w:ascii="仿宋" w:hAnsi="仿宋" w:eastAsia="仿宋" w:cs="宋体"/>
                <w:kern w:val="0"/>
                <w:szCs w:val="21"/>
              </w:rPr>
            </w:pPr>
            <w:r>
              <w:rPr>
                <w:rFonts w:hint="eastAsia" w:ascii="仿宋" w:hAnsi="仿宋" w:eastAsia="仿宋" w:cs="宋体"/>
                <w:kern w:val="0"/>
                <w:szCs w:val="21"/>
              </w:rPr>
              <w:t>室外防水RVV2*2.5</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一舟、TCL罗格朗、赛格</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20500</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米</w:t>
            </w:r>
          </w:p>
        </w:tc>
      </w:tr>
      <w:tr>
        <w:tblPrEx>
          <w:tblLayout w:type="fixed"/>
          <w:tblCellMar>
            <w:top w:w="0" w:type="dxa"/>
            <w:left w:w="108" w:type="dxa"/>
            <w:bottom w:w="0" w:type="dxa"/>
            <w:right w:w="108" w:type="dxa"/>
          </w:tblCellMar>
        </w:tblPrEx>
        <w:trPr>
          <w:trHeight w:val="27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22</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安装辅材</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辅材、安装调试</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国产优质</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批</w:t>
            </w:r>
          </w:p>
        </w:tc>
      </w:tr>
      <w:tr>
        <w:tblPrEx>
          <w:tblLayout w:type="fixed"/>
          <w:tblCellMar>
            <w:top w:w="0" w:type="dxa"/>
            <w:left w:w="108" w:type="dxa"/>
            <w:bottom w:w="0" w:type="dxa"/>
            <w:right w:w="108" w:type="dxa"/>
          </w:tblCellMar>
        </w:tblPrEx>
        <w:trPr>
          <w:trHeight w:val="270" w:hRule="atLeast"/>
        </w:trPr>
        <w:tc>
          <w:tcPr>
            <w:tcW w:w="8466"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b/>
                <w:bCs/>
                <w:kern w:val="0"/>
                <w:szCs w:val="21"/>
              </w:rPr>
            </w:pPr>
            <w:r>
              <w:rPr>
                <w:rFonts w:hint="eastAsia" w:ascii="仿宋" w:hAnsi="仿宋" w:eastAsia="仿宋" w:cs="宋体"/>
                <w:b/>
                <w:bCs/>
                <w:kern w:val="0"/>
                <w:szCs w:val="21"/>
              </w:rPr>
              <w:t>1.3.1 多媒体报警求助系统工程</w:t>
            </w:r>
          </w:p>
        </w:tc>
      </w:tr>
      <w:tr>
        <w:tblPrEx>
          <w:tblLayout w:type="fixed"/>
          <w:tblCellMar>
            <w:top w:w="0" w:type="dxa"/>
            <w:left w:w="108" w:type="dxa"/>
            <w:bottom w:w="0" w:type="dxa"/>
            <w:right w:w="108" w:type="dxa"/>
          </w:tblCellMar>
        </w:tblPrEx>
        <w:trPr>
          <w:trHeight w:val="120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多媒体报警柱</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单屏多媒体报警柱，含8口百兆交换机、1片22寸信息发布屏、球机及配套立杆</w:t>
            </w:r>
            <w:r>
              <w:rPr>
                <w:rFonts w:hint="eastAsia" w:ascii="仿宋" w:hAnsi="仿宋" w:eastAsia="仿宋" w:cs="宋体"/>
                <w:kern w:val="0"/>
                <w:szCs w:val="21"/>
              </w:rPr>
              <w:br w:type="textWrapping"/>
            </w:r>
            <w:r>
              <w:rPr>
                <w:rFonts w:hint="eastAsia" w:ascii="仿宋" w:hAnsi="仿宋" w:eastAsia="仿宋" w:cs="宋体"/>
                <w:kern w:val="0"/>
                <w:szCs w:val="21"/>
              </w:rPr>
              <w:t>一键报警，200w像素视频采集，支持红外补光，支持语音对讲、广播；支持远程开锁；支持公网传输ehome;支持双网口；支持4G三网通(需定制)； IP65</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大华、海康、华为</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39</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359"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2</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紧急报警管理主机</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紧急求助报警产品中心管理机；采用触摸按键及7寸高清触摸屏，集成视频查看、中心对讲、呼叫前端等功能，用于管理前端一键报警产品，外观科技感十足</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大华、海康、华为</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3</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216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3</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信息发布平台</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内置信息发布系统软件，软硬件一体设备。</w:t>
            </w:r>
            <w:r>
              <w:rPr>
                <w:rFonts w:hint="eastAsia" w:ascii="仿宋" w:hAnsi="仿宋" w:eastAsia="仿宋" w:cs="宋体"/>
                <w:kern w:val="0"/>
                <w:szCs w:val="21"/>
              </w:rPr>
              <w:br w:type="textWrapping"/>
            </w:r>
            <w:r>
              <w:rPr>
                <w:rFonts w:hint="eastAsia" w:ascii="仿宋" w:hAnsi="仿宋" w:eastAsia="仿宋" w:cs="宋体"/>
                <w:kern w:val="0"/>
                <w:szCs w:val="21"/>
              </w:rPr>
              <w:t>芯片：baytrail J1900 2.4GHz</w:t>
            </w:r>
            <w:r>
              <w:rPr>
                <w:rFonts w:hint="eastAsia" w:ascii="仿宋" w:hAnsi="仿宋" w:eastAsia="仿宋" w:cs="宋体"/>
                <w:kern w:val="0"/>
                <w:szCs w:val="21"/>
              </w:rPr>
              <w:br w:type="textWrapping"/>
            </w:r>
            <w:r>
              <w:rPr>
                <w:rFonts w:hint="eastAsia" w:ascii="仿宋" w:hAnsi="仿宋" w:eastAsia="仿宋" w:cs="宋体"/>
                <w:kern w:val="0"/>
                <w:szCs w:val="21"/>
              </w:rPr>
              <w:t>存储参数：内存4G DDR3L,内置硬盘3T</w:t>
            </w:r>
            <w:r>
              <w:rPr>
                <w:rFonts w:hint="eastAsia" w:ascii="仿宋" w:hAnsi="仿宋" w:eastAsia="仿宋" w:cs="宋体"/>
                <w:kern w:val="0"/>
                <w:szCs w:val="21"/>
              </w:rPr>
              <w:br w:type="textWrapping"/>
            </w:r>
            <w:r>
              <w:rPr>
                <w:rFonts w:hint="eastAsia" w:ascii="仿宋" w:hAnsi="仿宋" w:eastAsia="仿宋" w:cs="宋体"/>
                <w:kern w:val="0"/>
                <w:szCs w:val="21"/>
              </w:rPr>
              <w:t>接口：RJ45×2,RS232×1,USB3.0×1，USB2.0×2，SATA×,4</w:t>
            </w:r>
            <w:r>
              <w:rPr>
                <w:rFonts w:hint="eastAsia" w:ascii="仿宋" w:hAnsi="仿宋" w:eastAsia="仿宋" w:cs="宋体"/>
                <w:kern w:val="0"/>
                <w:szCs w:val="21"/>
              </w:rPr>
              <w:br w:type="textWrapping"/>
            </w:r>
            <w:r>
              <w:rPr>
                <w:rFonts w:hint="eastAsia" w:ascii="仿宋" w:hAnsi="仿宋" w:eastAsia="仿宋" w:cs="宋体"/>
                <w:kern w:val="0"/>
                <w:szCs w:val="21"/>
              </w:rPr>
              <w:t>功能：</w:t>
            </w:r>
            <w:r>
              <w:rPr>
                <w:rFonts w:hint="eastAsia" w:ascii="仿宋" w:hAnsi="仿宋" w:eastAsia="仿宋" w:cs="宋体"/>
                <w:kern w:val="0"/>
                <w:szCs w:val="21"/>
              </w:rPr>
              <w:br w:type="textWrapping"/>
            </w:r>
            <w:r>
              <w:rPr>
                <w:rFonts w:hint="eastAsia" w:ascii="仿宋" w:hAnsi="仿宋" w:eastAsia="仿宋" w:cs="宋体"/>
                <w:kern w:val="0"/>
                <w:szCs w:val="21"/>
              </w:rPr>
              <w:t>支持文本、图片、视频文件、PDF等多种信息的发布</w:t>
            </w:r>
            <w:r>
              <w:rPr>
                <w:rFonts w:hint="eastAsia" w:ascii="仿宋" w:hAnsi="仿宋" w:eastAsia="仿宋" w:cs="宋体"/>
                <w:kern w:val="0"/>
                <w:szCs w:val="21"/>
              </w:rPr>
              <w:br w:type="textWrapping"/>
            </w:r>
            <w:r>
              <w:rPr>
                <w:rFonts w:hint="eastAsia" w:ascii="仿宋" w:hAnsi="仿宋" w:eastAsia="仿宋" w:cs="宋体"/>
                <w:kern w:val="0"/>
                <w:szCs w:val="21"/>
              </w:rPr>
              <w:t>支持按日/按周/自定义/轮播等多种节目日程播放方式</w:t>
            </w:r>
            <w:r>
              <w:rPr>
                <w:rFonts w:hint="eastAsia" w:ascii="仿宋" w:hAnsi="仿宋" w:eastAsia="仿宋" w:cs="宋体"/>
                <w:kern w:val="0"/>
                <w:szCs w:val="21"/>
              </w:rPr>
              <w:br w:type="textWrapping"/>
            </w:r>
            <w:r>
              <w:rPr>
                <w:rFonts w:hint="eastAsia" w:ascii="仿宋" w:hAnsi="仿宋" w:eastAsia="仿宋" w:cs="宋体"/>
                <w:kern w:val="0"/>
                <w:szCs w:val="21"/>
              </w:rPr>
              <w:t>支持终端状态查看、远程定时开关机管理</w:t>
            </w:r>
            <w:r>
              <w:rPr>
                <w:rFonts w:hint="eastAsia" w:ascii="仿宋" w:hAnsi="仿宋" w:eastAsia="仿宋" w:cs="宋体"/>
                <w:kern w:val="0"/>
                <w:szCs w:val="21"/>
              </w:rPr>
              <w:br w:type="textWrapping"/>
            </w:r>
            <w:r>
              <w:rPr>
                <w:rFonts w:hint="eastAsia" w:ascii="仿宋" w:hAnsi="仿宋" w:eastAsia="仿宋" w:cs="宋体"/>
                <w:kern w:val="0"/>
                <w:szCs w:val="21"/>
              </w:rPr>
              <w:t>支持紧急文本信息的插播</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大华、海康、华为</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台</w:t>
            </w:r>
          </w:p>
        </w:tc>
      </w:tr>
      <w:tr>
        <w:tblPrEx>
          <w:tblLayout w:type="fixed"/>
          <w:tblCellMar>
            <w:top w:w="0" w:type="dxa"/>
            <w:left w:w="108" w:type="dxa"/>
            <w:bottom w:w="0" w:type="dxa"/>
            <w:right w:w="108" w:type="dxa"/>
          </w:tblCellMar>
        </w:tblPrEx>
        <w:trPr>
          <w:trHeight w:val="27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4</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接地装置</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电阻小于4欧姆</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国产优质</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39</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套</w:t>
            </w:r>
          </w:p>
        </w:tc>
      </w:tr>
      <w:tr>
        <w:tblPrEx>
          <w:tblLayout w:type="fixed"/>
          <w:tblCellMar>
            <w:top w:w="0" w:type="dxa"/>
            <w:left w:w="108" w:type="dxa"/>
            <w:bottom w:w="0" w:type="dxa"/>
            <w:right w:w="108" w:type="dxa"/>
          </w:tblCellMar>
        </w:tblPrEx>
        <w:trPr>
          <w:trHeight w:val="27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5</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接地母线</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BV6.0</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国产优质</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10</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卷</w:t>
            </w:r>
          </w:p>
        </w:tc>
      </w:tr>
      <w:tr>
        <w:tblPrEx>
          <w:tblLayout w:type="fixed"/>
          <w:tblCellMar>
            <w:top w:w="0" w:type="dxa"/>
            <w:left w:w="108" w:type="dxa"/>
            <w:bottom w:w="0" w:type="dxa"/>
            <w:right w:w="108" w:type="dxa"/>
          </w:tblCellMar>
        </w:tblPrEx>
        <w:trPr>
          <w:trHeight w:val="27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6</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五类防水网线</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CAT-5E</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一舟、TCL罗格朗、赛格</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3000</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米</w:t>
            </w:r>
          </w:p>
        </w:tc>
      </w:tr>
      <w:tr>
        <w:tblPrEx>
          <w:tblLayout w:type="fixed"/>
          <w:tblCellMar>
            <w:top w:w="0" w:type="dxa"/>
            <w:left w:w="108" w:type="dxa"/>
            <w:bottom w:w="0" w:type="dxa"/>
            <w:right w:w="108" w:type="dxa"/>
          </w:tblCellMar>
        </w:tblPrEx>
        <w:trPr>
          <w:trHeight w:val="27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7</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防水电源线</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防水RVV3*2.5</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一舟、TCL罗格朗、赛格</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3000</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米</w:t>
            </w:r>
          </w:p>
        </w:tc>
      </w:tr>
      <w:tr>
        <w:tblPrEx>
          <w:tblLayout w:type="fixed"/>
          <w:tblCellMar>
            <w:top w:w="0" w:type="dxa"/>
            <w:left w:w="108" w:type="dxa"/>
            <w:bottom w:w="0" w:type="dxa"/>
            <w:right w:w="108" w:type="dxa"/>
          </w:tblCellMar>
        </w:tblPrEx>
        <w:trPr>
          <w:trHeight w:val="270" w:hRule="atLeast"/>
        </w:trPr>
        <w:tc>
          <w:tcPr>
            <w:tcW w:w="53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8</w:t>
            </w:r>
          </w:p>
        </w:tc>
        <w:tc>
          <w:tcPr>
            <w:tcW w:w="97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辅材</w:t>
            </w:r>
          </w:p>
        </w:tc>
        <w:tc>
          <w:tcPr>
            <w:tcW w:w="4516"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Cs w:val="21"/>
              </w:rPr>
            </w:pPr>
            <w:r>
              <w:rPr>
                <w:rFonts w:hint="eastAsia" w:ascii="仿宋" w:hAnsi="仿宋" w:eastAsia="仿宋" w:cs="宋体"/>
                <w:kern w:val="0"/>
                <w:szCs w:val="21"/>
              </w:rPr>
              <w:t>　</w:t>
            </w:r>
            <w:r>
              <w:rPr>
                <w:rFonts w:hint="eastAsia" w:ascii="仿宋" w:hAnsi="仿宋" w:eastAsia="仿宋" w:cs="宋体"/>
                <w:color w:val="000000"/>
                <w:kern w:val="0"/>
                <w:szCs w:val="21"/>
              </w:rPr>
              <w:t>含工程建设所需的辅材如固定件、扎带、胶带等</w:t>
            </w:r>
          </w:p>
        </w:tc>
        <w:tc>
          <w:tcPr>
            <w:tcW w:w="147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国产优质</w:t>
            </w:r>
          </w:p>
        </w:tc>
        <w:tc>
          <w:tcPr>
            <w:tcW w:w="63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33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Cs w:val="21"/>
              </w:rPr>
            </w:pPr>
            <w:r>
              <w:rPr>
                <w:rFonts w:hint="eastAsia" w:ascii="仿宋" w:hAnsi="仿宋" w:eastAsia="仿宋" w:cs="宋体"/>
                <w:kern w:val="0"/>
                <w:szCs w:val="21"/>
              </w:rPr>
              <w:t>批</w:t>
            </w:r>
          </w:p>
        </w:tc>
      </w:tr>
    </w:tbl>
    <w:p>
      <w:pPr>
        <w:spacing w:after="163"/>
        <w:jc w:val="center"/>
        <w:rPr>
          <w:rFonts w:ascii="仿宋" w:hAnsi="仿宋" w:eastAsia="仿宋"/>
          <w:b/>
          <w:sz w:val="28"/>
          <w:szCs w:val="28"/>
          <w:lang w:val="zh-CN"/>
        </w:rPr>
      </w:pPr>
    </w:p>
    <w:p>
      <w:pPr>
        <w:spacing w:after="163"/>
        <w:rPr>
          <w:rFonts w:ascii="仿宋" w:hAnsi="仿宋" w:eastAsia="仿宋"/>
          <w:b/>
          <w:sz w:val="28"/>
          <w:szCs w:val="28"/>
          <w:lang w:val="zh-CN"/>
        </w:rPr>
      </w:pPr>
    </w:p>
    <w:tbl>
      <w:tblPr>
        <w:tblStyle w:val="39"/>
        <w:tblW w:w="8466" w:type="dxa"/>
        <w:tblInd w:w="0" w:type="dxa"/>
        <w:tblLayout w:type="fixed"/>
        <w:tblCellMar>
          <w:top w:w="0" w:type="dxa"/>
          <w:left w:w="108" w:type="dxa"/>
          <w:bottom w:w="0" w:type="dxa"/>
          <w:right w:w="108" w:type="dxa"/>
        </w:tblCellMar>
      </w:tblPr>
      <w:tblGrid>
        <w:gridCol w:w="627"/>
        <w:gridCol w:w="1047"/>
        <w:gridCol w:w="4414"/>
        <w:gridCol w:w="1195"/>
        <w:gridCol w:w="535"/>
        <w:gridCol w:w="55"/>
        <w:gridCol w:w="593"/>
      </w:tblGrid>
      <w:tr>
        <w:tblPrEx>
          <w:tblLayout w:type="fixed"/>
          <w:tblCellMar>
            <w:top w:w="0" w:type="dxa"/>
            <w:left w:w="108" w:type="dxa"/>
            <w:bottom w:w="0" w:type="dxa"/>
            <w:right w:w="108" w:type="dxa"/>
          </w:tblCellMar>
        </w:tblPrEx>
        <w:trPr>
          <w:trHeight w:val="450" w:hRule="atLeast"/>
        </w:trPr>
        <w:tc>
          <w:tcPr>
            <w:tcW w:w="8466" w:type="dxa"/>
            <w:gridSpan w:val="7"/>
            <w:tcBorders>
              <w:bottom w:val="single" w:color="auto" w:sz="4" w:space="0"/>
            </w:tcBorders>
            <w:shd w:val="clear" w:color="000000" w:fill="FFFFFF"/>
            <w:vAlign w:val="center"/>
          </w:tcPr>
          <w:p>
            <w:pPr>
              <w:widowControl/>
              <w:ind w:firstLine="723"/>
              <w:jc w:val="center"/>
              <w:rPr>
                <w:rFonts w:ascii="仿宋" w:hAnsi="仿宋" w:eastAsia="仿宋" w:cs="宋体"/>
                <w:b/>
                <w:bCs/>
                <w:color w:val="000000"/>
                <w:kern w:val="0"/>
                <w:szCs w:val="21"/>
              </w:rPr>
            </w:pPr>
            <w:r>
              <w:rPr>
                <w:rFonts w:hint="eastAsia" w:ascii="仿宋_GB2312" w:hAnsi="仿宋_GB2312" w:eastAsia="仿宋_GB2312" w:cs="仿宋_GB2312"/>
                <w:b/>
                <w:bCs/>
                <w:color w:val="000000"/>
                <w:kern w:val="0"/>
                <w:sz w:val="28"/>
                <w:szCs w:val="28"/>
              </w:rPr>
              <w:t>2、票务管理平台</w:t>
            </w:r>
          </w:p>
        </w:tc>
      </w:tr>
      <w:tr>
        <w:tblPrEx>
          <w:tblLayout w:type="fixed"/>
          <w:tblCellMar>
            <w:top w:w="0" w:type="dxa"/>
            <w:left w:w="108" w:type="dxa"/>
            <w:bottom w:w="0" w:type="dxa"/>
            <w:right w:w="108" w:type="dxa"/>
          </w:tblCellMar>
        </w:tblPrEx>
        <w:trPr>
          <w:trHeight w:val="270"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序号</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设备名称</w:t>
            </w:r>
          </w:p>
        </w:tc>
        <w:tc>
          <w:tcPr>
            <w:tcW w:w="441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参数说明</w:t>
            </w:r>
          </w:p>
        </w:tc>
        <w:tc>
          <w:tcPr>
            <w:tcW w:w="119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推荐品牌</w:t>
            </w:r>
          </w:p>
        </w:tc>
        <w:tc>
          <w:tcPr>
            <w:tcW w:w="590"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数量</w:t>
            </w:r>
          </w:p>
        </w:tc>
        <w:tc>
          <w:tcPr>
            <w:tcW w:w="593"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单位</w:t>
            </w:r>
          </w:p>
        </w:tc>
      </w:tr>
      <w:tr>
        <w:tblPrEx>
          <w:tblLayout w:type="fixed"/>
          <w:tblCellMar>
            <w:top w:w="0" w:type="dxa"/>
            <w:left w:w="108" w:type="dxa"/>
            <w:bottom w:w="0" w:type="dxa"/>
            <w:right w:w="108" w:type="dxa"/>
          </w:tblCellMar>
        </w:tblPrEx>
        <w:trPr>
          <w:trHeight w:val="270" w:hRule="atLeast"/>
        </w:trPr>
        <w:tc>
          <w:tcPr>
            <w:tcW w:w="8466"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b/>
                <w:bCs/>
                <w:color w:val="000000"/>
                <w:kern w:val="0"/>
                <w:szCs w:val="21"/>
              </w:rPr>
            </w:pPr>
            <w:r>
              <w:rPr>
                <w:rFonts w:hint="eastAsia" w:ascii="仿宋" w:hAnsi="仿宋" w:eastAsia="仿宋" w:cs="宋体"/>
                <w:b/>
                <w:bCs/>
                <w:color w:val="000000"/>
                <w:kern w:val="0"/>
                <w:szCs w:val="21"/>
              </w:rPr>
              <w:t>2.1 景区闸机系统工程</w:t>
            </w:r>
          </w:p>
        </w:tc>
      </w:tr>
      <w:tr>
        <w:tblPrEx>
          <w:tblLayout w:type="fixed"/>
          <w:tblCellMar>
            <w:top w:w="0" w:type="dxa"/>
            <w:left w:w="108" w:type="dxa"/>
            <w:bottom w:w="0" w:type="dxa"/>
            <w:right w:w="108" w:type="dxa"/>
          </w:tblCellMar>
        </w:tblPrEx>
        <w:trPr>
          <w:trHeight w:val="480"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售票电脑工作站</w:t>
            </w:r>
          </w:p>
        </w:tc>
        <w:tc>
          <w:tcPr>
            <w:tcW w:w="441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八代i3-8100/8G/1T/显示器：19.5英寸，键盘鼠标套装。</w:t>
            </w:r>
          </w:p>
        </w:tc>
        <w:tc>
          <w:tcPr>
            <w:tcW w:w="119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联想、戴尔、惠普</w:t>
            </w:r>
          </w:p>
        </w:tc>
        <w:tc>
          <w:tcPr>
            <w:tcW w:w="53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8</w:t>
            </w:r>
          </w:p>
        </w:tc>
        <w:tc>
          <w:tcPr>
            <w:tcW w:w="64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台</w:t>
            </w:r>
          </w:p>
        </w:tc>
      </w:tr>
      <w:tr>
        <w:tblPrEx>
          <w:tblLayout w:type="fixed"/>
          <w:tblCellMar>
            <w:top w:w="0" w:type="dxa"/>
            <w:left w:w="108" w:type="dxa"/>
            <w:bottom w:w="0" w:type="dxa"/>
            <w:right w:w="108" w:type="dxa"/>
          </w:tblCellMar>
        </w:tblPrEx>
        <w:trPr>
          <w:trHeight w:val="410"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2</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手持检票机</w:t>
            </w:r>
          </w:p>
        </w:tc>
        <w:tc>
          <w:tcPr>
            <w:tcW w:w="441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支持二维码检票</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支持二代身份证检票</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支持IC卡检票</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支持人脸检票</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操作系统 Android 6.0</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CPU Qualcomm 8909 ，1.2G 四核</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存储 16GB ROM + 2GB RAM</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主屏尺寸 5寸 高清LCD ，分辨率1280*720</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触摸屏 电容式触摸屏</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前置200万像素/后置800万像素摄像头，自动对焦，带闪光灯</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支持4G全网通</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支持WIFI IEEE 802.11a/b/g/n</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支持蓝牙 BT4.0 LE</w:t>
            </w:r>
          </w:p>
        </w:tc>
        <w:tc>
          <w:tcPr>
            <w:tcW w:w="119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畅旅、鸿信、清鹤</w:t>
            </w:r>
          </w:p>
        </w:tc>
        <w:tc>
          <w:tcPr>
            <w:tcW w:w="53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8</w:t>
            </w:r>
          </w:p>
        </w:tc>
        <w:tc>
          <w:tcPr>
            <w:tcW w:w="64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台</w:t>
            </w:r>
          </w:p>
        </w:tc>
      </w:tr>
      <w:tr>
        <w:tblPrEx>
          <w:tblLayout w:type="fixed"/>
          <w:tblCellMar>
            <w:top w:w="0" w:type="dxa"/>
            <w:left w:w="108" w:type="dxa"/>
            <w:bottom w:w="0" w:type="dxa"/>
            <w:right w:w="108" w:type="dxa"/>
          </w:tblCellMar>
        </w:tblPrEx>
        <w:trPr>
          <w:trHeight w:val="424"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门票打印机</w:t>
            </w:r>
          </w:p>
        </w:tc>
        <w:tc>
          <w:tcPr>
            <w:tcW w:w="441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分辨率: 300dpi</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打印方式: 热转印方式/直热式打印方式</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 xml:space="preserve">打印速度: 4英寸/秒/100毫米/秒 </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打印宽度：104mm</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最大纸宽：118mm</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产品规格：231x289x279mm</w:t>
            </w:r>
          </w:p>
        </w:tc>
        <w:tc>
          <w:tcPr>
            <w:tcW w:w="119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西铁城、爱普生、佳能</w:t>
            </w:r>
          </w:p>
        </w:tc>
        <w:tc>
          <w:tcPr>
            <w:tcW w:w="53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32</w:t>
            </w:r>
          </w:p>
        </w:tc>
        <w:tc>
          <w:tcPr>
            <w:tcW w:w="64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台</w:t>
            </w:r>
          </w:p>
        </w:tc>
      </w:tr>
      <w:tr>
        <w:tblPrEx>
          <w:tblLayout w:type="fixed"/>
          <w:tblCellMar>
            <w:top w:w="0" w:type="dxa"/>
            <w:left w:w="108" w:type="dxa"/>
            <w:bottom w:w="0" w:type="dxa"/>
            <w:right w:w="108" w:type="dxa"/>
          </w:tblCellMar>
        </w:tblPrEx>
        <w:trPr>
          <w:trHeight w:val="480"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4</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台式读卡器</w:t>
            </w:r>
          </w:p>
        </w:tc>
        <w:tc>
          <w:tcPr>
            <w:tcW w:w="441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身份证IC卡指纹三合一阅读器</w:t>
            </w:r>
          </w:p>
        </w:tc>
        <w:tc>
          <w:tcPr>
            <w:tcW w:w="119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畅旅、鸿信、清鹤</w:t>
            </w:r>
          </w:p>
        </w:tc>
        <w:tc>
          <w:tcPr>
            <w:tcW w:w="53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32</w:t>
            </w:r>
          </w:p>
        </w:tc>
        <w:tc>
          <w:tcPr>
            <w:tcW w:w="64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台</w:t>
            </w:r>
          </w:p>
        </w:tc>
      </w:tr>
      <w:tr>
        <w:tblPrEx>
          <w:tblLayout w:type="fixed"/>
          <w:tblCellMar>
            <w:top w:w="0" w:type="dxa"/>
            <w:left w:w="108" w:type="dxa"/>
            <w:bottom w:w="0" w:type="dxa"/>
            <w:right w:w="108" w:type="dxa"/>
          </w:tblCellMar>
        </w:tblPrEx>
        <w:trPr>
          <w:trHeight w:val="268" w:hRule="atLeast"/>
        </w:trPr>
        <w:tc>
          <w:tcPr>
            <w:tcW w:w="62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c>
          <w:tcPr>
            <w:tcW w:w="104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智能检票通道闸机（含智能检票机和二维码、身份证、IC卡、人脸识别组件模块）</w:t>
            </w:r>
          </w:p>
        </w:tc>
        <w:tc>
          <w:tcPr>
            <w:tcW w:w="4414"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304不锈钢</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箱体激光切割加工；精焊，精磨工艺；表面原厂拉丝</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断电自动掉杆，符合消防要求</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 xml:space="preserve">净重: 52kg ，钣金厚1.2mm  </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尺寸: 1200x280x980mm</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通行速度: ≤35人/分</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通道宽:≤550mm</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输入电压 : 220V,50HZ</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驱动电压: 24v</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环境温度: -25~+70</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功率:30W</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性能： 特有液压过人不反弹，稳定，同时能提供通过人员信息反溃，完全做到一人一杆；到位锁定功能，外力无法改变其位置 ；采用标准电气接口，可与多种ID卡、IC卡读卡器相挂接，并可通过管理计机实现远程控制与管理 ；具有非法闯关闸杆锁定、复位的功能，确保通行的合法性；具有多种管理模式可以选择，可轻松适应不同的管理需要而变，时刻智能管理提供方便 ；箱体材料：箱体、栏杆全部采用304不锈钢材质，经久耐用 应急措施： 闸机掉电落杆，通电后手动上杆(抬杆)系统具有突发应急措施，保证通道畅通无阻，方便人员及时疏散 ；防护性能： 箱体式设计，坚固耐用，满足室内室外应用 防潮、防尘、防水设计</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输入电源：220V+10%-15%，50Hz±4% ；</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人脸1:10万比对，耗时1S内</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闸机/自助机等终端设备采用安卓板卡，可靠性高，安全性好</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支持年游客量200W+</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闸机具备景区自营售票系统（官网、微信、APP等）</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支持OTA线上分销</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数据库实时热备，数据不丢失</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系统通信采用https加密，保障数据交换安全</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MTBF可靠性：机芯无故障转动≥1000万次</w:t>
            </w:r>
          </w:p>
        </w:tc>
        <w:tc>
          <w:tcPr>
            <w:tcW w:w="11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畅旅、鸿信、清鹤</w:t>
            </w:r>
          </w:p>
        </w:tc>
        <w:tc>
          <w:tcPr>
            <w:tcW w:w="53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29</w:t>
            </w:r>
          </w:p>
        </w:tc>
        <w:tc>
          <w:tcPr>
            <w:tcW w:w="648"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通道</w:t>
            </w:r>
          </w:p>
        </w:tc>
      </w:tr>
      <w:tr>
        <w:tblPrEx>
          <w:tblLayout w:type="fixed"/>
          <w:tblCellMar>
            <w:top w:w="0" w:type="dxa"/>
            <w:left w:w="108" w:type="dxa"/>
            <w:bottom w:w="0" w:type="dxa"/>
            <w:right w:w="108" w:type="dxa"/>
          </w:tblCellMar>
        </w:tblPrEx>
        <w:trPr>
          <w:trHeight w:val="480" w:hRule="atLeast"/>
        </w:trPr>
        <w:tc>
          <w:tcPr>
            <w:tcW w:w="62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6</w:t>
            </w:r>
          </w:p>
        </w:tc>
        <w:tc>
          <w:tcPr>
            <w:tcW w:w="104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闸机配套3KVUPS</w:t>
            </w:r>
          </w:p>
        </w:tc>
        <w:tc>
          <w:tcPr>
            <w:tcW w:w="4414"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含UPS主机、6节12V38AH电池、电池柜、配电系统、后备时间满载1小时</w:t>
            </w:r>
          </w:p>
        </w:tc>
        <w:tc>
          <w:tcPr>
            <w:tcW w:w="119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科华、施耐德、柏克</w:t>
            </w:r>
          </w:p>
        </w:tc>
        <w:tc>
          <w:tcPr>
            <w:tcW w:w="535"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4</w:t>
            </w:r>
          </w:p>
        </w:tc>
        <w:tc>
          <w:tcPr>
            <w:tcW w:w="648" w:type="dxa"/>
            <w:gridSpan w:val="2"/>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套</w:t>
            </w:r>
          </w:p>
        </w:tc>
      </w:tr>
      <w:tr>
        <w:tblPrEx>
          <w:tblLayout w:type="fixed"/>
          <w:tblCellMar>
            <w:top w:w="0" w:type="dxa"/>
            <w:left w:w="108" w:type="dxa"/>
            <w:bottom w:w="0" w:type="dxa"/>
            <w:right w:w="108" w:type="dxa"/>
          </w:tblCellMar>
        </w:tblPrEx>
        <w:trPr>
          <w:trHeight w:val="480"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7</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配套闸机6KVUPS</w:t>
            </w:r>
          </w:p>
        </w:tc>
        <w:tc>
          <w:tcPr>
            <w:tcW w:w="441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含UPS主机、6节12V38AH电池、电池柜、配电系统、后备时间满载1小时</w:t>
            </w:r>
          </w:p>
        </w:tc>
        <w:tc>
          <w:tcPr>
            <w:tcW w:w="119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科华、施耐德、柏克</w:t>
            </w:r>
          </w:p>
        </w:tc>
        <w:tc>
          <w:tcPr>
            <w:tcW w:w="53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c>
          <w:tcPr>
            <w:tcW w:w="64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套</w:t>
            </w:r>
          </w:p>
        </w:tc>
      </w:tr>
      <w:tr>
        <w:tblPrEx>
          <w:tblLayout w:type="fixed"/>
          <w:tblCellMar>
            <w:top w:w="0" w:type="dxa"/>
            <w:left w:w="108" w:type="dxa"/>
            <w:bottom w:w="0" w:type="dxa"/>
            <w:right w:w="108" w:type="dxa"/>
          </w:tblCellMar>
        </w:tblPrEx>
        <w:trPr>
          <w:trHeight w:val="2640"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8</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自助售票取票机</w:t>
            </w:r>
          </w:p>
        </w:tc>
        <w:tc>
          <w:tcPr>
            <w:tcW w:w="441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屏幕尺寸 43英寸；分辨率 1920*1080</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显示区域 930.24*523.26</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亮度 280 cd/m</w:t>
            </w:r>
            <w:r>
              <w:rPr>
                <w:rFonts w:hint="eastAsia" w:ascii="仿宋" w:hAnsi="仿宋" w:cs="宋体"/>
                <w:color w:val="000000"/>
                <w:kern w:val="0"/>
                <w:szCs w:val="21"/>
              </w:rPr>
              <w:t>²</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触摸功能 6点红外触摸</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支持多点红外触摸功能</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防窥金属加密设计</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采用工业级热敏打印机</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支持二维码扫描识别功能</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可读取身份证芯片信息</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支持微信，支付宝付款</w:t>
            </w:r>
          </w:p>
        </w:tc>
        <w:tc>
          <w:tcPr>
            <w:tcW w:w="119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畅旅、鸿信、清鹤</w:t>
            </w:r>
          </w:p>
        </w:tc>
        <w:tc>
          <w:tcPr>
            <w:tcW w:w="53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6</w:t>
            </w:r>
          </w:p>
        </w:tc>
        <w:tc>
          <w:tcPr>
            <w:tcW w:w="64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台</w:t>
            </w:r>
          </w:p>
        </w:tc>
      </w:tr>
      <w:tr>
        <w:tblPrEx>
          <w:tblLayout w:type="fixed"/>
          <w:tblCellMar>
            <w:top w:w="0" w:type="dxa"/>
            <w:left w:w="108" w:type="dxa"/>
            <w:bottom w:w="0" w:type="dxa"/>
            <w:right w:w="108" w:type="dxa"/>
          </w:tblCellMar>
        </w:tblPrEx>
        <w:trPr>
          <w:trHeight w:val="480"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9</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24口接入交换机</w:t>
            </w:r>
          </w:p>
        </w:tc>
        <w:tc>
          <w:tcPr>
            <w:tcW w:w="441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24个10/100/1000Base-T以太网端口,4个千兆SFP</w:t>
            </w:r>
          </w:p>
        </w:tc>
        <w:tc>
          <w:tcPr>
            <w:tcW w:w="119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华三、中兴、华为</w:t>
            </w:r>
          </w:p>
        </w:tc>
        <w:tc>
          <w:tcPr>
            <w:tcW w:w="53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7</w:t>
            </w:r>
          </w:p>
        </w:tc>
        <w:tc>
          <w:tcPr>
            <w:tcW w:w="64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只</w:t>
            </w:r>
          </w:p>
        </w:tc>
      </w:tr>
      <w:tr>
        <w:tblPrEx>
          <w:tblLayout w:type="fixed"/>
          <w:tblCellMar>
            <w:top w:w="0" w:type="dxa"/>
            <w:left w:w="108" w:type="dxa"/>
            <w:bottom w:w="0" w:type="dxa"/>
            <w:right w:w="108" w:type="dxa"/>
          </w:tblCellMar>
        </w:tblPrEx>
        <w:trPr>
          <w:trHeight w:val="270"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10</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光纤配线架</w:t>
            </w:r>
          </w:p>
        </w:tc>
        <w:tc>
          <w:tcPr>
            <w:tcW w:w="441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24口光配、含耦合器、尾纤</w:t>
            </w:r>
          </w:p>
        </w:tc>
        <w:tc>
          <w:tcPr>
            <w:tcW w:w="119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一舟、TCL罗格朗、赛格</w:t>
            </w:r>
          </w:p>
        </w:tc>
        <w:tc>
          <w:tcPr>
            <w:tcW w:w="53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8</w:t>
            </w:r>
          </w:p>
        </w:tc>
        <w:tc>
          <w:tcPr>
            <w:tcW w:w="64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只</w:t>
            </w:r>
          </w:p>
        </w:tc>
      </w:tr>
      <w:tr>
        <w:tblPrEx>
          <w:tblLayout w:type="fixed"/>
          <w:tblCellMar>
            <w:top w:w="0" w:type="dxa"/>
            <w:left w:w="108" w:type="dxa"/>
            <w:bottom w:w="0" w:type="dxa"/>
            <w:right w:w="108" w:type="dxa"/>
          </w:tblCellMar>
        </w:tblPrEx>
        <w:trPr>
          <w:trHeight w:val="270"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11</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理线架</w:t>
            </w:r>
          </w:p>
        </w:tc>
        <w:tc>
          <w:tcPr>
            <w:tcW w:w="441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1U</w:t>
            </w:r>
          </w:p>
        </w:tc>
        <w:tc>
          <w:tcPr>
            <w:tcW w:w="119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一舟、TCL罗格朗、赛格</w:t>
            </w:r>
          </w:p>
        </w:tc>
        <w:tc>
          <w:tcPr>
            <w:tcW w:w="53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8</w:t>
            </w:r>
          </w:p>
        </w:tc>
        <w:tc>
          <w:tcPr>
            <w:tcW w:w="64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只</w:t>
            </w:r>
          </w:p>
        </w:tc>
      </w:tr>
      <w:tr>
        <w:tblPrEx>
          <w:tblLayout w:type="fixed"/>
          <w:tblCellMar>
            <w:top w:w="0" w:type="dxa"/>
            <w:left w:w="108" w:type="dxa"/>
            <w:bottom w:w="0" w:type="dxa"/>
            <w:right w:w="108" w:type="dxa"/>
          </w:tblCellMar>
        </w:tblPrEx>
        <w:trPr>
          <w:trHeight w:val="480"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12</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单模光纤跳线</w:t>
            </w:r>
          </w:p>
        </w:tc>
        <w:tc>
          <w:tcPr>
            <w:tcW w:w="441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2米，SC-SC</w:t>
            </w:r>
          </w:p>
        </w:tc>
        <w:tc>
          <w:tcPr>
            <w:tcW w:w="119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一舟、TCL罗格朗、赛格</w:t>
            </w:r>
          </w:p>
        </w:tc>
        <w:tc>
          <w:tcPr>
            <w:tcW w:w="53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8</w:t>
            </w:r>
          </w:p>
        </w:tc>
        <w:tc>
          <w:tcPr>
            <w:tcW w:w="64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根</w:t>
            </w:r>
          </w:p>
        </w:tc>
      </w:tr>
      <w:tr>
        <w:tblPrEx>
          <w:tblLayout w:type="fixed"/>
          <w:tblCellMar>
            <w:top w:w="0" w:type="dxa"/>
            <w:left w:w="108" w:type="dxa"/>
            <w:bottom w:w="0" w:type="dxa"/>
            <w:right w:w="108" w:type="dxa"/>
          </w:tblCellMar>
        </w:tblPrEx>
        <w:trPr>
          <w:trHeight w:val="270"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13</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光纤</w:t>
            </w:r>
          </w:p>
        </w:tc>
        <w:tc>
          <w:tcPr>
            <w:tcW w:w="441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四芯单模</w:t>
            </w:r>
          </w:p>
        </w:tc>
        <w:tc>
          <w:tcPr>
            <w:tcW w:w="119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一舟、TCL罗格朗、赛格</w:t>
            </w:r>
          </w:p>
        </w:tc>
        <w:tc>
          <w:tcPr>
            <w:tcW w:w="53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4000</w:t>
            </w:r>
          </w:p>
        </w:tc>
        <w:tc>
          <w:tcPr>
            <w:tcW w:w="64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m</w:t>
            </w:r>
          </w:p>
        </w:tc>
      </w:tr>
      <w:tr>
        <w:tblPrEx>
          <w:tblLayout w:type="fixed"/>
          <w:tblCellMar>
            <w:top w:w="0" w:type="dxa"/>
            <w:left w:w="108" w:type="dxa"/>
            <w:bottom w:w="0" w:type="dxa"/>
            <w:right w:w="108" w:type="dxa"/>
          </w:tblCellMar>
        </w:tblPrEx>
        <w:trPr>
          <w:trHeight w:val="270"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14</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光纤熔接</w:t>
            </w:r>
          </w:p>
        </w:tc>
        <w:tc>
          <w:tcPr>
            <w:tcW w:w="441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119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一舟、TCL罗格朗、赛格</w:t>
            </w:r>
          </w:p>
        </w:tc>
        <w:tc>
          <w:tcPr>
            <w:tcW w:w="53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80</w:t>
            </w:r>
          </w:p>
        </w:tc>
        <w:tc>
          <w:tcPr>
            <w:tcW w:w="64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芯</w:t>
            </w:r>
          </w:p>
        </w:tc>
      </w:tr>
      <w:tr>
        <w:tblPrEx>
          <w:tblLayout w:type="fixed"/>
          <w:tblCellMar>
            <w:top w:w="0" w:type="dxa"/>
            <w:left w:w="108" w:type="dxa"/>
            <w:bottom w:w="0" w:type="dxa"/>
            <w:right w:w="108" w:type="dxa"/>
          </w:tblCellMar>
        </w:tblPrEx>
        <w:trPr>
          <w:trHeight w:val="480"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15</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五类防水网线</w:t>
            </w:r>
          </w:p>
        </w:tc>
        <w:tc>
          <w:tcPr>
            <w:tcW w:w="441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CAT-5E</w:t>
            </w:r>
          </w:p>
        </w:tc>
        <w:tc>
          <w:tcPr>
            <w:tcW w:w="119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一舟、TCL罗格朗、赛格</w:t>
            </w:r>
          </w:p>
        </w:tc>
        <w:tc>
          <w:tcPr>
            <w:tcW w:w="53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2000</w:t>
            </w:r>
          </w:p>
        </w:tc>
        <w:tc>
          <w:tcPr>
            <w:tcW w:w="64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米</w:t>
            </w:r>
          </w:p>
        </w:tc>
      </w:tr>
      <w:tr>
        <w:tblPrEx>
          <w:tblLayout w:type="fixed"/>
          <w:tblCellMar>
            <w:top w:w="0" w:type="dxa"/>
            <w:left w:w="108" w:type="dxa"/>
            <w:bottom w:w="0" w:type="dxa"/>
            <w:right w:w="108" w:type="dxa"/>
          </w:tblCellMar>
        </w:tblPrEx>
        <w:trPr>
          <w:trHeight w:val="270"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16</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防水电源线</w:t>
            </w:r>
          </w:p>
        </w:tc>
        <w:tc>
          <w:tcPr>
            <w:tcW w:w="441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防水RVV3*2.5</w:t>
            </w:r>
          </w:p>
        </w:tc>
        <w:tc>
          <w:tcPr>
            <w:tcW w:w="119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一舟、TCL罗格朗、赛格</w:t>
            </w:r>
          </w:p>
        </w:tc>
        <w:tc>
          <w:tcPr>
            <w:tcW w:w="53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2000</w:t>
            </w:r>
          </w:p>
        </w:tc>
        <w:tc>
          <w:tcPr>
            <w:tcW w:w="64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米</w:t>
            </w:r>
          </w:p>
        </w:tc>
      </w:tr>
      <w:tr>
        <w:tblPrEx>
          <w:tblLayout w:type="fixed"/>
          <w:tblCellMar>
            <w:top w:w="0" w:type="dxa"/>
            <w:left w:w="108" w:type="dxa"/>
            <w:bottom w:w="0" w:type="dxa"/>
            <w:right w:w="108" w:type="dxa"/>
          </w:tblCellMar>
        </w:tblPrEx>
        <w:trPr>
          <w:trHeight w:val="270" w:hRule="atLeast"/>
        </w:trPr>
        <w:tc>
          <w:tcPr>
            <w:tcW w:w="6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17</w:t>
            </w:r>
          </w:p>
        </w:tc>
        <w:tc>
          <w:tcPr>
            <w:tcW w:w="10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安装辅材</w:t>
            </w:r>
          </w:p>
        </w:tc>
        <w:tc>
          <w:tcPr>
            <w:tcW w:w="441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含工程建设所需的辅材如固定件、扎带、胶带等</w:t>
            </w:r>
          </w:p>
        </w:tc>
        <w:tc>
          <w:tcPr>
            <w:tcW w:w="119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　</w:t>
            </w:r>
          </w:p>
        </w:tc>
        <w:tc>
          <w:tcPr>
            <w:tcW w:w="53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w:t>
            </w:r>
          </w:p>
        </w:tc>
        <w:tc>
          <w:tcPr>
            <w:tcW w:w="648" w:type="dxa"/>
            <w:gridSpan w:val="2"/>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批</w:t>
            </w:r>
          </w:p>
        </w:tc>
      </w:tr>
    </w:tbl>
    <w:p>
      <w:pPr>
        <w:widowControl/>
        <w:jc w:val="left"/>
        <w:rPr>
          <w:rFonts w:ascii="仿宋" w:hAnsi="仿宋" w:eastAsia="仿宋"/>
          <w:b/>
          <w:sz w:val="28"/>
          <w:szCs w:val="28"/>
          <w:lang w:val="zh-CN"/>
        </w:rPr>
      </w:pPr>
    </w:p>
    <w:p>
      <w:pPr>
        <w:widowControl/>
        <w:jc w:val="left"/>
        <w:rPr>
          <w:rFonts w:ascii="仿宋" w:hAnsi="仿宋" w:eastAsia="仿宋"/>
          <w:b/>
          <w:sz w:val="28"/>
          <w:szCs w:val="28"/>
          <w:lang w:val="zh-CN"/>
        </w:rPr>
      </w:pPr>
    </w:p>
    <w:p>
      <w:pPr>
        <w:widowControl/>
        <w:jc w:val="left"/>
        <w:rPr>
          <w:rFonts w:ascii="仿宋" w:hAnsi="仿宋" w:eastAsia="仿宋"/>
          <w:b/>
          <w:sz w:val="28"/>
          <w:szCs w:val="28"/>
          <w:lang w:val="zh-CN"/>
        </w:rPr>
      </w:pPr>
    </w:p>
    <w:p>
      <w:pPr>
        <w:widowControl/>
        <w:jc w:val="left"/>
        <w:rPr>
          <w:rFonts w:ascii="仿宋" w:hAnsi="仿宋" w:eastAsia="仿宋"/>
          <w:b/>
          <w:sz w:val="28"/>
          <w:szCs w:val="28"/>
          <w:lang w:val="zh-CN"/>
        </w:rPr>
      </w:pPr>
    </w:p>
    <w:tbl>
      <w:tblPr>
        <w:tblStyle w:val="39"/>
        <w:tblpPr w:leftFromText="180" w:rightFromText="180" w:vertAnchor="text" w:horzAnchor="page" w:tblpX="1887" w:tblpY="510"/>
        <w:tblOverlap w:val="never"/>
        <w:tblW w:w="8466" w:type="dxa"/>
        <w:tblInd w:w="0" w:type="dxa"/>
        <w:tblLayout w:type="fixed"/>
        <w:tblCellMar>
          <w:top w:w="0" w:type="dxa"/>
          <w:left w:w="108" w:type="dxa"/>
          <w:bottom w:w="0" w:type="dxa"/>
          <w:right w:w="108" w:type="dxa"/>
        </w:tblCellMar>
      </w:tblPr>
      <w:tblGrid>
        <w:gridCol w:w="687"/>
        <w:gridCol w:w="1122"/>
        <w:gridCol w:w="3461"/>
        <w:gridCol w:w="1658"/>
        <w:gridCol w:w="887"/>
        <w:gridCol w:w="651"/>
      </w:tblGrid>
      <w:tr>
        <w:tblPrEx>
          <w:tblLayout w:type="fixed"/>
          <w:tblCellMar>
            <w:top w:w="0" w:type="dxa"/>
            <w:left w:w="108" w:type="dxa"/>
            <w:bottom w:w="0" w:type="dxa"/>
            <w:right w:w="108" w:type="dxa"/>
          </w:tblCellMar>
        </w:tblPrEx>
        <w:trPr>
          <w:trHeight w:val="499" w:hRule="atLeast"/>
        </w:trPr>
        <w:tc>
          <w:tcPr>
            <w:tcW w:w="8466" w:type="dxa"/>
            <w:gridSpan w:val="6"/>
            <w:tcBorders>
              <w:bottom w:val="single" w:color="auto" w:sz="4" w:space="0"/>
            </w:tcBorders>
            <w:shd w:val="clear" w:color="000000" w:fill="FFFFFF"/>
            <w:vAlign w:val="center"/>
          </w:tcPr>
          <w:p>
            <w:pPr>
              <w:widowControl/>
              <w:jc w:val="center"/>
              <w:rPr>
                <w:rFonts w:ascii="仿宋" w:hAnsi="仿宋" w:eastAsia="仿宋" w:cs="宋体"/>
                <w:b/>
                <w:bCs/>
                <w:color w:val="000000"/>
                <w:kern w:val="0"/>
                <w:sz w:val="36"/>
                <w:szCs w:val="36"/>
              </w:rPr>
            </w:pPr>
            <w:r>
              <w:rPr>
                <w:rFonts w:hint="eastAsia" w:ascii="仿宋_GB2312" w:hAnsi="仿宋_GB2312" w:eastAsia="仿宋_GB2312" w:cs="仿宋_GB2312"/>
                <w:b/>
                <w:bCs/>
                <w:color w:val="000000"/>
                <w:kern w:val="0"/>
                <w:sz w:val="28"/>
                <w:szCs w:val="28"/>
              </w:rPr>
              <w:t>3.综合管网系统</w:t>
            </w:r>
          </w:p>
        </w:tc>
      </w:tr>
      <w:tr>
        <w:tblPrEx>
          <w:tblLayout w:type="fixed"/>
          <w:tblCellMar>
            <w:top w:w="0" w:type="dxa"/>
            <w:left w:w="108" w:type="dxa"/>
            <w:bottom w:w="0" w:type="dxa"/>
            <w:right w:w="108" w:type="dxa"/>
          </w:tblCellMar>
        </w:tblPrEx>
        <w:trPr>
          <w:trHeight w:val="499" w:hRule="atLeast"/>
        </w:trPr>
        <w:tc>
          <w:tcPr>
            <w:tcW w:w="68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 w:val="20"/>
              </w:rPr>
            </w:pPr>
            <w:r>
              <w:rPr>
                <w:rFonts w:hint="eastAsia" w:ascii="仿宋" w:hAnsi="仿宋" w:eastAsia="仿宋" w:cs="宋体"/>
                <w:b/>
                <w:bCs/>
                <w:color w:val="000000"/>
                <w:kern w:val="0"/>
                <w:sz w:val="20"/>
              </w:rPr>
              <w:t>序号</w:t>
            </w:r>
          </w:p>
        </w:tc>
        <w:tc>
          <w:tcPr>
            <w:tcW w:w="112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 w:val="20"/>
              </w:rPr>
            </w:pPr>
            <w:r>
              <w:rPr>
                <w:rFonts w:hint="eastAsia" w:ascii="仿宋" w:hAnsi="仿宋" w:eastAsia="仿宋" w:cs="宋体"/>
                <w:b/>
                <w:bCs/>
                <w:color w:val="000000"/>
                <w:kern w:val="0"/>
                <w:sz w:val="20"/>
              </w:rPr>
              <w:t>设备名称</w:t>
            </w:r>
          </w:p>
        </w:tc>
        <w:tc>
          <w:tcPr>
            <w:tcW w:w="3461"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 w:val="20"/>
              </w:rPr>
            </w:pPr>
            <w:r>
              <w:rPr>
                <w:rFonts w:hint="eastAsia" w:ascii="仿宋" w:hAnsi="仿宋" w:eastAsia="仿宋" w:cs="宋体"/>
                <w:b/>
                <w:bCs/>
                <w:color w:val="000000"/>
                <w:kern w:val="0"/>
                <w:sz w:val="20"/>
              </w:rPr>
              <w:t>参数说明</w:t>
            </w:r>
          </w:p>
        </w:tc>
        <w:tc>
          <w:tcPr>
            <w:tcW w:w="165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 w:val="20"/>
              </w:rPr>
            </w:pPr>
            <w:r>
              <w:rPr>
                <w:rFonts w:hint="eastAsia" w:ascii="仿宋" w:hAnsi="仿宋" w:eastAsia="仿宋" w:cs="宋体"/>
                <w:b/>
                <w:bCs/>
                <w:color w:val="000000"/>
                <w:kern w:val="0"/>
                <w:sz w:val="20"/>
              </w:rPr>
              <w:t>推荐品牌</w:t>
            </w:r>
          </w:p>
        </w:tc>
        <w:tc>
          <w:tcPr>
            <w:tcW w:w="88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 w:val="20"/>
              </w:rPr>
            </w:pPr>
            <w:r>
              <w:rPr>
                <w:rFonts w:hint="eastAsia" w:ascii="仿宋" w:hAnsi="仿宋" w:eastAsia="仿宋" w:cs="宋体"/>
                <w:b/>
                <w:bCs/>
                <w:color w:val="000000"/>
                <w:kern w:val="0"/>
                <w:sz w:val="20"/>
              </w:rPr>
              <w:t>数量</w:t>
            </w:r>
          </w:p>
        </w:tc>
        <w:tc>
          <w:tcPr>
            <w:tcW w:w="651"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b/>
                <w:bCs/>
                <w:color w:val="000000"/>
                <w:kern w:val="0"/>
                <w:sz w:val="20"/>
              </w:rPr>
            </w:pPr>
            <w:r>
              <w:rPr>
                <w:rFonts w:hint="eastAsia" w:ascii="仿宋" w:hAnsi="仿宋" w:eastAsia="仿宋" w:cs="宋体"/>
                <w:b/>
                <w:bCs/>
                <w:color w:val="000000"/>
                <w:kern w:val="0"/>
                <w:sz w:val="20"/>
              </w:rPr>
              <w:t>单位</w:t>
            </w:r>
          </w:p>
        </w:tc>
      </w:tr>
      <w:tr>
        <w:tblPrEx>
          <w:tblLayout w:type="fixed"/>
          <w:tblCellMar>
            <w:top w:w="0" w:type="dxa"/>
            <w:left w:w="108" w:type="dxa"/>
            <w:bottom w:w="0" w:type="dxa"/>
            <w:right w:w="108" w:type="dxa"/>
          </w:tblCellMar>
        </w:tblPrEx>
        <w:trPr>
          <w:trHeight w:val="499" w:hRule="atLeast"/>
        </w:trPr>
        <w:tc>
          <w:tcPr>
            <w:tcW w:w="68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1</w:t>
            </w:r>
          </w:p>
        </w:tc>
        <w:tc>
          <w:tcPr>
            <w:tcW w:w="112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PE50管</w:t>
            </w:r>
          </w:p>
        </w:tc>
        <w:tc>
          <w:tcPr>
            <w:tcW w:w="3461"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20"/>
              </w:rPr>
            </w:pPr>
            <w:r>
              <w:rPr>
                <w:rFonts w:hint="eastAsia" w:ascii="仿宋" w:hAnsi="仿宋" w:eastAsia="仿宋" w:cs="宋体"/>
                <w:color w:val="000000"/>
                <w:kern w:val="0"/>
                <w:sz w:val="20"/>
              </w:rPr>
              <w:t>国标PE50管，壁厚2.3</w:t>
            </w:r>
          </w:p>
        </w:tc>
        <w:tc>
          <w:tcPr>
            <w:tcW w:w="165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国产优质</w:t>
            </w:r>
          </w:p>
        </w:tc>
        <w:tc>
          <w:tcPr>
            <w:tcW w:w="88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30000</w:t>
            </w:r>
          </w:p>
        </w:tc>
        <w:tc>
          <w:tcPr>
            <w:tcW w:w="651"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米</w:t>
            </w:r>
          </w:p>
        </w:tc>
      </w:tr>
      <w:tr>
        <w:tblPrEx>
          <w:tblLayout w:type="fixed"/>
          <w:tblCellMar>
            <w:top w:w="0" w:type="dxa"/>
            <w:left w:w="108" w:type="dxa"/>
            <w:bottom w:w="0" w:type="dxa"/>
            <w:right w:w="108" w:type="dxa"/>
          </w:tblCellMar>
        </w:tblPrEx>
        <w:trPr>
          <w:trHeight w:val="499" w:hRule="atLeast"/>
        </w:trPr>
        <w:tc>
          <w:tcPr>
            <w:tcW w:w="68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2</w:t>
            </w:r>
          </w:p>
        </w:tc>
        <w:tc>
          <w:tcPr>
            <w:tcW w:w="112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PE25管</w:t>
            </w:r>
          </w:p>
        </w:tc>
        <w:tc>
          <w:tcPr>
            <w:tcW w:w="3461"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20"/>
              </w:rPr>
            </w:pPr>
            <w:r>
              <w:rPr>
                <w:rFonts w:hint="eastAsia" w:ascii="仿宋" w:hAnsi="仿宋" w:eastAsia="仿宋" w:cs="宋体"/>
                <w:color w:val="000000"/>
                <w:kern w:val="0"/>
                <w:sz w:val="20"/>
              </w:rPr>
              <w:t>国标PE25波纹管</w:t>
            </w:r>
          </w:p>
        </w:tc>
        <w:tc>
          <w:tcPr>
            <w:tcW w:w="165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国产优质</w:t>
            </w:r>
          </w:p>
        </w:tc>
        <w:tc>
          <w:tcPr>
            <w:tcW w:w="88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4000</w:t>
            </w:r>
          </w:p>
        </w:tc>
        <w:tc>
          <w:tcPr>
            <w:tcW w:w="651"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米</w:t>
            </w:r>
          </w:p>
        </w:tc>
      </w:tr>
      <w:tr>
        <w:tblPrEx>
          <w:tblLayout w:type="fixed"/>
          <w:tblCellMar>
            <w:top w:w="0" w:type="dxa"/>
            <w:left w:w="108" w:type="dxa"/>
            <w:bottom w:w="0" w:type="dxa"/>
            <w:right w:w="108" w:type="dxa"/>
          </w:tblCellMar>
        </w:tblPrEx>
        <w:trPr>
          <w:trHeight w:val="499" w:hRule="atLeast"/>
        </w:trPr>
        <w:tc>
          <w:tcPr>
            <w:tcW w:w="68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3</w:t>
            </w:r>
          </w:p>
        </w:tc>
        <w:tc>
          <w:tcPr>
            <w:tcW w:w="112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路面开槽</w:t>
            </w:r>
          </w:p>
        </w:tc>
        <w:tc>
          <w:tcPr>
            <w:tcW w:w="3461"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20"/>
              </w:rPr>
            </w:pPr>
            <w:r>
              <w:rPr>
                <w:rFonts w:hint="eastAsia" w:ascii="仿宋" w:hAnsi="仿宋" w:eastAsia="仿宋" w:cs="宋体"/>
                <w:color w:val="000000"/>
                <w:kern w:val="0"/>
                <w:sz w:val="20"/>
              </w:rPr>
              <w:t>沥青路面开槽含恢复</w:t>
            </w:r>
          </w:p>
        </w:tc>
        <w:tc>
          <w:tcPr>
            <w:tcW w:w="165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20"/>
              </w:rPr>
            </w:pPr>
            <w:r>
              <w:rPr>
                <w:rFonts w:hint="eastAsia" w:ascii="仿宋" w:hAnsi="仿宋" w:eastAsia="仿宋" w:cs="宋体"/>
                <w:color w:val="000000"/>
                <w:kern w:val="0"/>
                <w:sz w:val="20"/>
              </w:rPr>
              <w:t>　</w:t>
            </w:r>
          </w:p>
        </w:tc>
        <w:tc>
          <w:tcPr>
            <w:tcW w:w="88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800</w:t>
            </w:r>
          </w:p>
        </w:tc>
        <w:tc>
          <w:tcPr>
            <w:tcW w:w="651"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米</w:t>
            </w:r>
          </w:p>
        </w:tc>
      </w:tr>
      <w:tr>
        <w:tblPrEx>
          <w:tblLayout w:type="fixed"/>
          <w:tblCellMar>
            <w:top w:w="0" w:type="dxa"/>
            <w:left w:w="108" w:type="dxa"/>
            <w:bottom w:w="0" w:type="dxa"/>
            <w:right w:w="108" w:type="dxa"/>
          </w:tblCellMar>
        </w:tblPrEx>
        <w:trPr>
          <w:trHeight w:val="499" w:hRule="atLeast"/>
        </w:trPr>
        <w:tc>
          <w:tcPr>
            <w:tcW w:w="68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4</w:t>
            </w:r>
          </w:p>
        </w:tc>
        <w:tc>
          <w:tcPr>
            <w:tcW w:w="112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土方开挖</w:t>
            </w:r>
          </w:p>
        </w:tc>
        <w:tc>
          <w:tcPr>
            <w:tcW w:w="3461"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20"/>
              </w:rPr>
            </w:pPr>
            <w:r>
              <w:rPr>
                <w:rFonts w:hint="eastAsia" w:ascii="仿宋" w:hAnsi="仿宋" w:eastAsia="仿宋" w:cs="宋体"/>
                <w:color w:val="000000"/>
                <w:kern w:val="0"/>
                <w:sz w:val="20"/>
              </w:rPr>
              <w:t>人工挖土</w:t>
            </w:r>
          </w:p>
        </w:tc>
        <w:tc>
          <w:tcPr>
            <w:tcW w:w="165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20"/>
              </w:rPr>
            </w:pPr>
            <w:r>
              <w:rPr>
                <w:rFonts w:hint="eastAsia" w:ascii="仿宋" w:hAnsi="仿宋" w:eastAsia="仿宋" w:cs="宋体"/>
                <w:color w:val="000000"/>
                <w:kern w:val="0"/>
                <w:sz w:val="20"/>
              </w:rPr>
              <w:t>　</w:t>
            </w:r>
          </w:p>
        </w:tc>
        <w:tc>
          <w:tcPr>
            <w:tcW w:w="88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15000</w:t>
            </w:r>
          </w:p>
        </w:tc>
        <w:tc>
          <w:tcPr>
            <w:tcW w:w="651"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米</w:t>
            </w:r>
          </w:p>
        </w:tc>
      </w:tr>
      <w:tr>
        <w:tblPrEx>
          <w:tblLayout w:type="fixed"/>
          <w:tblCellMar>
            <w:top w:w="0" w:type="dxa"/>
            <w:left w:w="108" w:type="dxa"/>
            <w:bottom w:w="0" w:type="dxa"/>
            <w:right w:w="108" w:type="dxa"/>
          </w:tblCellMar>
        </w:tblPrEx>
        <w:trPr>
          <w:trHeight w:val="499" w:hRule="atLeast"/>
        </w:trPr>
        <w:tc>
          <w:tcPr>
            <w:tcW w:w="68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5</w:t>
            </w:r>
          </w:p>
        </w:tc>
        <w:tc>
          <w:tcPr>
            <w:tcW w:w="112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室外手井</w:t>
            </w:r>
          </w:p>
        </w:tc>
        <w:tc>
          <w:tcPr>
            <w:tcW w:w="3461"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20"/>
              </w:rPr>
            </w:pPr>
            <w:r>
              <w:rPr>
                <w:rFonts w:hint="eastAsia" w:ascii="仿宋" w:hAnsi="仿宋" w:eastAsia="仿宋" w:cs="宋体"/>
                <w:color w:val="000000"/>
                <w:kern w:val="0"/>
                <w:sz w:val="20"/>
              </w:rPr>
              <w:t>400*600*900 含井盖</w:t>
            </w:r>
          </w:p>
        </w:tc>
        <w:tc>
          <w:tcPr>
            <w:tcW w:w="1658"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国产优质</w:t>
            </w:r>
          </w:p>
        </w:tc>
        <w:tc>
          <w:tcPr>
            <w:tcW w:w="88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249</w:t>
            </w:r>
          </w:p>
        </w:tc>
        <w:tc>
          <w:tcPr>
            <w:tcW w:w="651"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座</w:t>
            </w:r>
          </w:p>
        </w:tc>
      </w:tr>
      <w:tr>
        <w:tblPrEx>
          <w:tblLayout w:type="fixed"/>
          <w:tblCellMar>
            <w:top w:w="0" w:type="dxa"/>
            <w:left w:w="108" w:type="dxa"/>
            <w:bottom w:w="0" w:type="dxa"/>
            <w:right w:w="108" w:type="dxa"/>
          </w:tblCellMar>
        </w:tblPrEx>
        <w:trPr>
          <w:trHeight w:val="499" w:hRule="atLeast"/>
        </w:trPr>
        <w:tc>
          <w:tcPr>
            <w:tcW w:w="68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6</w:t>
            </w:r>
          </w:p>
        </w:tc>
        <w:tc>
          <w:tcPr>
            <w:tcW w:w="1122"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劳务费</w:t>
            </w:r>
          </w:p>
        </w:tc>
        <w:tc>
          <w:tcPr>
            <w:tcW w:w="3461"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20"/>
              </w:rPr>
            </w:pPr>
            <w:r>
              <w:rPr>
                <w:rFonts w:hint="eastAsia" w:ascii="仿宋" w:hAnsi="仿宋" w:eastAsia="仿宋" w:cs="宋体"/>
                <w:color w:val="000000"/>
                <w:kern w:val="0"/>
                <w:sz w:val="20"/>
              </w:rPr>
              <w:t>狼山及军山景区特殊地形劳务费</w:t>
            </w:r>
          </w:p>
        </w:tc>
        <w:tc>
          <w:tcPr>
            <w:tcW w:w="1658"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color w:val="000000"/>
                <w:kern w:val="0"/>
                <w:sz w:val="20"/>
              </w:rPr>
            </w:pPr>
            <w:r>
              <w:rPr>
                <w:rFonts w:hint="eastAsia" w:ascii="仿宋" w:hAnsi="仿宋" w:eastAsia="仿宋" w:cs="宋体"/>
                <w:color w:val="000000"/>
                <w:kern w:val="0"/>
                <w:sz w:val="20"/>
              </w:rPr>
              <w:t>　</w:t>
            </w:r>
          </w:p>
        </w:tc>
        <w:tc>
          <w:tcPr>
            <w:tcW w:w="88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1</w:t>
            </w:r>
          </w:p>
        </w:tc>
        <w:tc>
          <w:tcPr>
            <w:tcW w:w="651"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color w:val="000000"/>
                <w:kern w:val="0"/>
                <w:sz w:val="20"/>
              </w:rPr>
            </w:pPr>
            <w:r>
              <w:rPr>
                <w:rFonts w:hint="eastAsia" w:ascii="仿宋" w:hAnsi="仿宋" w:eastAsia="仿宋" w:cs="宋体"/>
                <w:color w:val="000000"/>
                <w:kern w:val="0"/>
                <w:sz w:val="20"/>
              </w:rPr>
              <w:t>项</w:t>
            </w:r>
          </w:p>
        </w:tc>
      </w:tr>
    </w:tbl>
    <w:p>
      <w:pPr>
        <w:adjustRightInd w:val="0"/>
        <w:snapToGrid w:val="0"/>
        <w:spacing w:line="440" w:lineRule="exact"/>
        <w:jc w:val="left"/>
        <w:rPr>
          <w:rFonts w:ascii="宋体" w:hAnsi="宋体" w:cs="宋体"/>
          <w:szCs w:val="21"/>
        </w:rPr>
      </w:pPr>
    </w:p>
    <w:p>
      <w:pPr>
        <w:adjustRightInd w:val="0"/>
        <w:snapToGrid w:val="0"/>
        <w:spacing w:line="440" w:lineRule="exact"/>
        <w:jc w:val="left"/>
        <w:rPr>
          <w:rFonts w:ascii="宋体" w:hAnsi="宋体" w:cs="宋体"/>
          <w:szCs w:val="21"/>
        </w:rPr>
      </w:pPr>
    </w:p>
    <w:tbl>
      <w:tblPr>
        <w:tblStyle w:val="39"/>
        <w:tblpPr w:leftFromText="180" w:rightFromText="180" w:vertAnchor="text" w:horzAnchor="page" w:tblpXSpec="center" w:tblpY="419"/>
        <w:tblOverlap w:val="never"/>
        <w:tblW w:w="8662" w:type="dxa"/>
        <w:tblInd w:w="0" w:type="dxa"/>
        <w:tblLayout w:type="fixed"/>
        <w:tblCellMar>
          <w:top w:w="0" w:type="dxa"/>
          <w:left w:w="0" w:type="dxa"/>
          <w:bottom w:w="0" w:type="dxa"/>
          <w:right w:w="0" w:type="dxa"/>
        </w:tblCellMar>
      </w:tblPr>
      <w:tblGrid>
        <w:gridCol w:w="850"/>
        <w:gridCol w:w="1150"/>
        <w:gridCol w:w="3544"/>
        <w:gridCol w:w="1701"/>
        <w:gridCol w:w="850"/>
        <w:gridCol w:w="567"/>
      </w:tblGrid>
      <w:tr>
        <w:tblPrEx>
          <w:tblLayout w:type="fixed"/>
          <w:tblCellMar>
            <w:top w:w="0" w:type="dxa"/>
            <w:left w:w="0" w:type="dxa"/>
            <w:bottom w:w="0" w:type="dxa"/>
            <w:right w:w="0" w:type="dxa"/>
          </w:tblCellMar>
        </w:tblPrEx>
        <w:trPr>
          <w:trHeight w:val="600" w:hRule="atLeast"/>
        </w:trPr>
        <w:tc>
          <w:tcPr>
            <w:tcW w:w="8662" w:type="dxa"/>
            <w:gridSpan w:val="6"/>
            <w:tcBorders>
              <w:top w:val="nil"/>
              <w:left w:val="nil"/>
              <w:bottom w:val="nil"/>
              <w:right w:val="nil"/>
            </w:tcBorders>
            <w:shd w:val="clear" w:color="auto" w:fill="FFFFFF"/>
            <w:tcMar>
              <w:top w:w="15" w:type="dxa"/>
              <w:left w:w="15" w:type="dxa"/>
              <w:right w:w="15" w:type="dxa"/>
            </w:tcMar>
            <w:vAlign w:val="center"/>
          </w:tcPr>
          <w:p>
            <w:pPr>
              <w:widowControl/>
              <w:jc w:val="center"/>
              <w:textAlignment w:val="center"/>
              <w:rPr>
                <w:rFonts w:ascii="仿宋" w:hAnsi="仿宋" w:eastAsia="仿宋" w:cs="仿宋"/>
                <w:b/>
                <w:color w:val="000000"/>
                <w:kern w:val="0"/>
                <w:sz w:val="24"/>
              </w:rPr>
            </w:pPr>
          </w:p>
          <w:p>
            <w:pPr>
              <w:widowControl/>
              <w:jc w:val="center"/>
              <w:textAlignment w:val="center"/>
              <w:rPr>
                <w:rFonts w:ascii="仿宋" w:hAnsi="仿宋" w:eastAsia="仿宋" w:cs="仿宋"/>
                <w:b/>
                <w:color w:val="000000"/>
                <w:kern w:val="0"/>
                <w:sz w:val="24"/>
              </w:rPr>
            </w:pPr>
          </w:p>
          <w:p>
            <w:pPr>
              <w:widowControl/>
              <w:jc w:val="center"/>
              <w:textAlignment w:val="center"/>
              <w:rPr>
                <w:rFonts w:ascii="仿宋_GB2312" w:hAnsi="宋体" w:eastAsia="仿宋_GB2312" w:cs="仿宋_GB2312"/>
                <w:b/>
                <w:color w:val="000000"/>
                <w:sz w:val="28"/>
                <w:szCs w:val="28"/>
              </w:rPr>
            </w:pPr>
            <w:r>
              <w:rPr>
                <w:rFonts w:hint="eastAsia" w:ascii="仿宋" w:hAnsi="仿宋" w:eastAsia="仿宋" w:cs="仿宋"/>
                <w:b/>
                <w:color w:val="000000"/>
                <w:kern w:val="0"/>
                <w:sz w:val="28"/>
                <w:szCs w:val="28"/>
              </w:rPr>
              <w:t>4</w:t>
            </w:r>
            <w:r>
              <w:rPr>
                <w:rFonts w:ascii="仿宋_GB2312" w:hAnsi="仿宋_GB2312" w:eastAsia="仿宋_GB2312" w:cs="仿宋_GB2312"/>
                <w:b/>
                <w:bCs/>
                <w:color w:val="000000"/>
                <w:kern w:val="0"/>
                <w:sz w:val="28"/>
                <w:szCs w:val="28"/>
              </w:rPr>
              <w:t>、</w:t>
            </w:r>
            <w:r>
              <w:rPr>
                <w:rFonts w:hint="eastAsia" w:ascii="仿宋_GB2312" w:hAnsi="仿宋_GB2312" w:eastAsia="仿宋_GB2312" w:cs="仿宋_GB2312"/>
                <w:b/>
                <w:bCs/>
                <w:color w:val="000000"/>
                <w:kern w:val="0"/>
                <w:sz w:val="28"/>
                <w:szCs w:val="28"/>
              </w:rPr>
              <w:t>运营商链路</w:t>
            </w:r>
          </w:p>
        </w:tc>
      </w:tr>
      <w:tr>
        <w:tblPrEx>
          <w:tblLayout w:type="fixed"/>
          <w:tblCellMar>
            <w:top w:w="0" w:type="dxa"/>
            <w:left w:w="0" w:type="dxa"/>
            <w:bottom w:w="0" w:type="dxa"/>
            <w:right w:w="0" w:type="dxa"/>
          </w:tblCellMar>
        </w:tblPrEx>
        <w:trPr>
          <w:trHeight w:val="600" w:hRule="atLeast"/>
        </w:trPr>
        <w:tc>
          <w:tcPr>
            <w:tcW w:w="8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b/>
                <w:color w:val="000000"/>
                <w:sz w:val="20"/>
                <w:szCs w:val="20"/>
              </w:rPr>
            </w:pPr>
            <w:r>
              <w:rPr>
                <w:rFonts w:hint="eastAsia" w:ascii="仿宋" w:hAnsi="仿宋" w:eastAsia="仿宋" w:cs="仿宋"/>
                <w:b/>
                <w:color w:val="000000"/>
                <w:kern w:val="0"/>
                <w:sz w:val="20"/>
                <w:szCs w:val="20"/>
              </w:rPr>
              <w:t>序号</w:t>
            </w:r>
          </w:p>
        </w:tc>
        <w:tc>
          <w:tcPr>
            <w:tcW w:w="11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b/>
                <w:color w:val="000000"/>
                <w:szCs w:val="21"/>
              </w:rPr>
            </w:pPr>
            <w:r>
              <w:rPr>
                <w:rFonts w:hint="eastAsia" w:ascii="仿宋" w:hAnsi="仿宋" w:eastAsia="仿宋" w:cs="仿宋"/>
                <w:b/>
                <w:color w:val="000000"/>
                <w:kern w:val="0"/>
                <w:szCs w:val="21"/>
              </w:rPr>
              <w:t>货物、服务名称</w:t>
            </w:r>
          </w:p>
        </w:tc>
        <w:tc>
          <w:tcPr>
            <w:tcW w:w="3544" w:type="dxa"/>
            <w:tcBorders>
              <w:top w:val="single" w:color="000000" w:sz="4" w:space="0"/>
              <w:left w:val="single" w:color="000000" w:sz="4" w:space="0"/>
              <w:bottom w:val="single" w:color="000000" w:sz="4" w:space="0"/>
              <w:right w:val="single" w:color="auto"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b/>
                <w:color w:val="000000"/>
                <w:sz w:val="20"/>
                <w:szCs w:val="20"/>
              </w:rPr>
            </w:pPr>
            <w:r>
              <w:rPr>
                <w:rFonts w:hint="eastAsia" w:ascii="仿宋" w:hAnsi="仿宋" w:eastAsia="仿宋" w:cs="仿宋"/>
                <w:b/>
                <w:color w:val="000000"/>
                <w:kern w:val="0"/>
                <w:sz w:val="20"/>
                <w:szCs w:val="20"/>
              </w:rPr>
              <w:t>参数说明</w:t>
            </w:r>
          </w:p>
        </w:tc>
        <w:tc>
          <w:tcPr>
            <w:tcW w:w="1701"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b/>
                <w:color w:val="000000"/>
                <w:sz w:val="20"/>
                <w:szCs w:val="20"/>
              </w:rPr>
            </w:pPr>
            <w:r>
              <w:rPr>
                <w:rFonts w:hint="eastAsia" w:ascii="仿宋" w:hAnsi="仿宋" w:eastAsia="仿宋" w:cs="宋体"/>
                <w:b/>
                <w:bCs/>
                <w:color w:val="000000"/>
                <w:kern w:val="0"/>
                <w:sz w:val="20"/>
              </w:rPr>
              <w:t>推荐品牌</w:t>
            </w: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b/>
                <w:color w:val="000000"/>
                <w:sz w:val="20"/>
                <w:szCs w:val="20"/>
              </w:rPr>
            </w:pPr>
            <w:r>
              <w:rPr>
                <w:rFonts w:hint="eastAsia" w:ascii="仿宋" w:hAnsi="仿宋" w:eastAsia="仿宋" w:cs="仿宋"/>
                <w:b/>
                <w:color w:val="000000"/>
                <w:kern w:val="0"/>
                <w:sz w:val="20"/>
                <w:szCs w:val="20"/>
              </w:rPr>
              <w:t>数量</w:t>
            </w:r>
          </w:p>
        </w:tc>
        <w:tc>
          <w:tcPr>
            <w:tcW w:w="56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b/>
                <w:color w:val="000000"/>
                <w:sz w:val="20"/>
                <w:szCs w:val="20"/>
              </w:rPr>
            </w:pPr>
            <w:r>
              <w:rPr>
                <w:rFonts w:hint="eastAsia" w:ascii="仿宋" w:hAnsi="仿宋" w:eastAsia="仿宋" w:cs="仿宋"/>
                <w:b/>
                <w:color w:val="000000"/>
                <w:kern w:val="0"/>
                <w:sz w:val="20"/>
                <w:szCs w:val="20"/>
              </w:rPr>
              <w:t>单位</w:t>
            </w:r>
          </w:p>
        </w:tc>
      </w:tr>
      <w:tr>
        <w:tblPrEx>
          <w:tblLayout w:type="fixed"/>
          <w:tblCellMar>
            <w:top w:w="0" w:type="dxa"/>
            <w:left w:w="0" w:type="dxa"/>
            <w:bottom w:w="0" w:type="dxa"/>
            <w:right w:w="0" w:type="dxa"/>
          </w:tblCellMar>
        </w:tblPrEx>
        <w:trPr>
          <w:trHeight w:val="600" w:hRule="atLeast"/>
        </w:trPr>
        <w:tc>
          <w:tcPr>
            <w:tcW w:w="8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kern w:val="0"/>
                <w:szCs w:val="21"/>
              </w:rPr>
            </w:pPr>
            <w:r>
              <w:rPr>
                <w:rFonts w:hint="eastAsia" w:ascii="仿宋" w:hAnsi="仿宋" w:eastAsia="仿宋" w:cs="仿宋"/>
                <w:color w:val="000000"/>
                <w:kern w:val="0"/>
                <w:szCs w:val="21"/>
              </w:rPr>
              <w:t>1</w:t>
            </w:r>
          </w:p>
        </w:tc>
        <w:tc>
          <w:tcPr>
            <w:tcW w:w="11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kern w:val="0"/>
                <w:szCs w:val="21"/>
              </w:rPr>
            </w:pPr>
            <w:r>
              <w:rPr>
                <w:rFonts w:hint="eastAsia" w:ascii="仿宋" w:hAnsi="仿宋" w:eastAsia="仿宋" w:cs="仿宋"/>
                <w:color w:val="000000"/>
                <w:kern w:val="0"/>
                <w:szCs w:val="21"/>
              </w:rPr>
              <w:t>运营商链路</w:t>
            </w:r>
          </w:p>
        </w:tc>
        <w:tc>
          <w:tcPr>
            <w:tcW w:w="3544" w:type="dxa"/>
            <w:tcBorders>
              <w:top w:val="single" w:color="000000" w:sz="4" w:space="0"/>
              <w:left w:val="single" w:color="000000" w:sz="4" w:space="0"/>
              <w:bottom w:val="single" w:color="000000" w:sz="4" w:space="0"/>
              <w:right w:val="single" w:color="auto" w:sz="4" w:space="0"/>
            </w:tcBorders>
            <w:shd w:val="clear" w:color="auto" w:fill="FFFFFF"/>
            <w:tcMar>
              <w:top w:w="15" w:type="dxa"/>
              <w:left w:w="15" w:type="dxa"/>
              <w:right w:w="15" w:type="dxa"/>
            </w:tcMar>
            <w:vAlign w:val="center"/>
          </w:tcPr>
          <w:p>
            <w:pPr>
              <w:pStyle w:val="76"/>
            </w:pPr>
          </w:p>
        </w:tc>
        <w:tc>
          <w:tcPr>
            <w:tcW w:w="1701"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kern w:val="0"/>
                <w:szCs w:val="21"/>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kern w:val="0"/>
                <w:szCs w:val="21"/>
              </w:rPr>
            </w:pPr>
            <w:r>
              <w:rPr>
                <w:rFonts w:hint="eastAsia" w:ascii="仿宋" w:hAnsi="仿宋" w:eastAsia="仿宋" w:cs="仿宋"/>
                <w:color w:val="000000"/>
                <w:kern w:val="0"/>
                <w:szCs w:val="21"/>
              </w:rPr>
              <w:t>1</w:t>
            </w:r>
          </w:p>
        </w:tc>
        <w:tc>
          <w:tcPr>
            <w:tcW w:w="56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kern w:val="0"/>
                <w:szCs w:val="21"/>
              </w:rPr>
            </w:pPr>
            <w:r>
              <w:rPr>
                <w:rFonts w:hint="eastAsia" w:ascii="仿宋" w:hAnsi="仿宋" w:eastAsia="仿宋" w:cs="仿宋"/>
                <w:color w:val="000000"/>
                <w:kern w:val="0"/>
                <w:szCs w:val="21"/>
              </w:rPr>
              <w:t>项</w:t>
            </w:r>
          </w:p>
        </w:tc>
      </w:tr>
    </w:tbl>
    <w:p>
      <w:pPr>
        <w:adjustRightInd w:val="0"/>
        <w:snapToGrid w:val="0"/>
        <w:spacing w:line="440" w:lineRule="exact"/>
        <w:jc w:val="left"/>
        <w:rPr>
          <w:rFonts w:ascii="宋体" w:hAnsi="宋体" w:cs="宋体"/>
          <w:szCs w:val="21"/>
        </w:rPr>
      </w:pPr>
    </w:p>
    <w:p>
      <w:pPr>
        <w:adjustRightInd w:val="0"/>
        <w:snapToGrid w:val="0"/>
        <w:spacing w:line="440" w:lineRule="exact"/>
        <w:jc w:val="left"/>
        <w:rPr>
          <w:rFonts w:ascii="宋体" w:hAnsi="宋体" w:cs="宋体"/>
          <w:szCs w:val="21"/>
        </w:rPr>
      </w:pPr>
    </w:p>
    <w:p>
      <w:pPr>
        <w:adjustRightInd w:val="0"/>
        <w:snapToGrid w:val="0"/>
        <w:spacing w:line="440" w:lineRule="exact"/>
        <w:jc w:val="left"/>
        <w:rPr>
          <w:rFonts w:ascii="宋体" w:hAnsi="宋体" w:cs="宋体"/>
          <w:szCs w:val="21"/>
        </w:rPr>
      </w:pPr>
    </w:p>
    <w:p>
      <w:pPr>
        <w:adjustRightInd w:val="0"/>
        <w:snapToGrid w:val="0"/>
        <w:spacing w:line="440" w:lineRule="exact"/>
        <w:jc w:val="left"/>
        <w:rPr>
          <w:rFonts w:ascii="宋体" w:hAnsi="宋体" w:cs="宋体"/>
          <w:szCs w:val="21"/>
        </w:rPr>
      </w:pPr>
    </w:p>
    <w:p>
      <w:pPr>
        <w:ind w:firstLine="422" w:firstLineChars="200"/>
      </w:pPr>
      <w:r>
        <w:rPr>
          <w:rFonts w:hint="eastAsia"/>
          <w:b/>
        </w:rPr>
        <w:t>注:</w:t>
      </w:r>
      <w:r>
        <w:rPr>
          <w:rFonts w:hint="eastAsia"/>
        </w:rPr>
        <w:t>投标人如提供非推荐品牌产品：则其品牌的档次、性能、技术指标应不低于或优于招标人建议的品牌，同时需提供以下资料的原件及复印件：①所投产品的规格说明书彩页原件、技术白皮书、计算机软件著作权登记证书及软件产品登记证书；②提供省级以上法定检测机构出具的所投产品的检测报告原件;③针对本项目所有设备参数逐条应答确认函。①②③项材料复印件均需加盖投标人和原厂商公章。以上材料须在标书发出后三天内送至招标人处查验，并携带原件备查。不满足上述要求或查验未通过，则视作无实质性响应。</w:t>
      </w:r>
    </w:p>
    <w:p>
      <w:pPr>
        <w:adjustRightInd w:val="0"/>
        <w:snapToGrid w:val="0"/>
        <w:spacing w:line="440" w:lineRule="exact"/>
        <w:jc w:val="left"/>
        <w:rPr>
          <w:rFonts w:ascii="宋体" w:hAnsi="宋体" w:cs="宋体"/>
          <w:szCs w:val="21"/>
        </w:rPr>
      </w:pPr>
    </w:p>
    <w:p>
      <w:pPr>
        <w:adjustRightInd w:val="0"/>
        <w:snapToGrid w:val="0"/>
        <w:spacing w:line="440" w:lineRule="exact"/>
        <w:jc w:val="left"/>
        <w:rPr>
          <w:rFonts w:ascii="宋体" w:hAnsi="宋体" w:cs="宋体"/>
          <w:szCs w:val="21"/>
        </w:rPr>
      </w:pPr>
    </w:p>
    <w:p>
      <w:pPr>
        <w:adjustRightInd w:val="0"/>
        <w:snapToGrid w:val="0"/>
        <w:spacing w:line="440" w:lineRule="exact"/>
        <w:jc w:val="left"/>
        <w:rPr>
          <w:rFonts w:ascii="宋体" w:hAnsi="宋体" w:cs="宋体"/>
          <w:szCs w:val="21"/>
        </w:rPr>
      </w:pPr>
    </w:p>
    <w:p>
      <w:pPr>
        <w:adjustRightInd w:val="0"/>
        <w:snapToGrid w:val="0"/>
        <w:spacing w:line="440" w:lineRule="exact"/>
        <w:jc w:val="left"/>
        <w:rPr>
          <w:rFonts w:ascii="宋体" w:hAnsi="宋体" w:cs="宋体"/>
          <w:szCs w:val="21"/>
        </w:rPr>
      </w:pPr>
    </w:p>
    <w:p>
      <w:pPr>
        <w:adjustRightInd w:val="0"/>
        <w:snapToGrid w:val="0"/>
        <w:spacing w:line="440" w:lineRule="exact"/>
        <w:jc w:val="left"/>
        <w:rPr>
          <w:rFonts w:ascii="宋体" w:hAnsi="宋体" w:cs="宋体"/>
          <w:szCs w:val="21"/>
        </w:rPr>
      </w:pPr>
    </w:p>
    <w:p>
      <w:pPr>
        <w:pStyle w:val="46"/>
        <w:numPr>
          <w:ilvl w:val="0"/>
          <w:numId w:val="11"/>
        </w:numPr>
        <w:spacing w:before="240" w:after="120"/>
        <w:rPr>
          <w:rFonts w:ascii="宋体" w:hAnsi="宋体" w:eastAsia="宋体" w:cs="宋体"/>
          <w:b/>
          <w:bCs w:val="0"/>
          <w:kern w:val="0"/>
          <w:sz w:val="28"/>
          <w:szCs w:val="28"/>
        </w:rPr>
      </w:pPr>
      <w:bookmarkStart w:id="666" w:name="_Toc12017958"/>
      <w:r>
        <w:rPr>
          <w:rFonts w:hint="eastAsia" w:ascii="宋体" w:hAnsi="宋体" w:eastAsia="宋体" w:cs="宋体"/>
          <w:b/>
          <w:bCs w:val="0"/>
          <w:kern w:val="0"/>
          <w:sz w:val="28"/>
          <w:szCs w:val="28"/>
        </w:rPr>
        <w:t>投标文件格式</w:t>
      </w:r>
      <w:bookmarkEnd w:id="659"/>
      <w:bookmarkEnd w:id="660"/>
      <w:bookmarkEnd w:id="661"/>
      <w:bookmarkEnd w:id="666"/>
    </w:p>
    <w:p>
      <w:pPr>
        <w:spacing w:after="120" w:line="360" w:lineRule="atLeast"/>
        <w:jc w:val="center"/>
        <w:rPr>
          <w:rFonts w:ascii="宋体" w:hAnsi="宋体" w:cs="宋体"/>
          <w:sz w:val="32"/>
          <w:szCs w:val="32"/>
          <w:u w:val="single"/>
        </w:rPr>
      </w:pPr>
    </w:p>
    <w:p>
      <w:pPr>
        <w:jc w:val="right"/>
        <w:rPr>
          <w:rFonts w:ascii="宋体" w:hAnsi="宋体"/>
          <w:color w:val="000000"/>
          <w:szCs w:val="21"/>
        </w:rPr>
      </w:pPr>
      <w:r>
        <w:rPr>
          <w:rFonts w:hint="eastAsia" w:ascii="宋体" w:hAnsi="宋体"/>
          <w:color w:val="000000"/>
          <w:szCs w:val="21"/>
        </w:rPr>
        <w:t>正（副）本</w:t>
      </w:r>
    </w:p>
    <w:p>
      <w:pPr>
        <w:rPr>
          <w:rFonts w:ascii="宋体" w:hAnsi="宋体"/>
          <w:szCs w:val="21"/>
        </w:rPr>
      </w:pPr>
    </w:p>
    <w:p>
      <w:pPr>
        <w:rPr>
          <w:rFonts w:ascii="宋体" w:hAnsi="宋体"/>
          <w:szCs w:val="21"/>
        </w:rPr>
      </w:pPr>
      <w:r>
        <w:rPr>
          <w:rFonts w:ascii="宋体" w:hAnsi="宋体"/>
          <w:szCs w:val="21"/>
        </w:rPr>
        <mc:AlternateContent>
          <mc:Choice Requires="wps">
            <w:drawing>
              <wp:anchor distT="0" distB="0" distL="114300" distR="114300" simplePos="0" relativeHeight="251732992" behindDoc="0" locked="0" layoutInCell="1" allowOverlap="1">
                <wp:simplePos x="0" y="0"/>
                <wp:positionH relativeFrom="column">
                  <wp:posOffset>45720</wp:posOffset>
                </wp:positionH>
                <wp:positionV relativeFrom="paragraph">
                  <wp:posOffset>246380</wp:posOffset>
                </wp:positionV>
                <wp:extent cx="6043295" cy="635"/>
                <wp:effectExtent l="0" t="19050" r="6985" b="2603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6043295" cy="635"/>
                        </a:xfrm>
                        <a:prstGeom prst="line">
                          <a:avLst/>
                        </a:prstGeom>
                        <a:noFill/>
                        <a:ln w="38100">
                          <a:solidFill>
                            <a:srgbClr val="000000"/>
                          </a:solidFill>
                          <a:round/>
                        </a:ln>
                        <a:effectLst/>
                      </wps:spPr>
                      <wps:bodyPr/>
                    </wps:wsp>
                  </a:graphicData>
                </a:graphic>
              </wp:anchor>
            </w:drawing>
          </mc:Choice>
          <mc:Fallback>
            <w:pict>
              <v:line id="_x0000_s1026" o:spid="_x0000_s1026" o:spt="20" style="position:absolute;left:0pt;margin-left:3.6pt;margin-top:19.4pt;height:0.05pt;width:475.85pt;z-index:251732992;mso-width-relative:page;mso-height-relative:page;" filled="f" stroked="t" coordsize="21600,21600" o:gfxdata="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&#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Ja5Lw/TAAAABwEAAA8AAAAAAAAAAQAgAAAAIgAAAGRy&#10;cy9kb3ducmV2LnhtbFBLAQIUABQAAAAIAIdO4kDTw+vE0QEAAG0DAAAOAAAAAAAAAAEAIAAAACIB&#10;AABkcnMvZTJvRG9jLnhtbFBLBQYAAAAABgAGAFkBAABlBQAAAAA=&#10;">
                <v:fill on="f" focussize="0,0"/>
                <v:stroke weight="3pt" color="#000000" joinstyle="round"/>
                <v:imagedata o:title=""/>
                <o:lock v:ext="edit" aspectratio="f"/>
              </v:line>
            </w:pict>
          </mc:Fallback>
        </mc:AlternateContent>
      </w:r>
    </w:p>
    <w:p>
      <w:pPr>
        <w:spacing w:line="420" w:lineRule="exact"/>
        <w:jc w:val="center"/>
        <w:rPr>
          <w:rFonts w:ascii="宋体" w:hAnsi="宋体"/>
          <w:szCs w:val="21"/>
        </w:rPr>
      </w:pPr>
      <w:r>
        <w:rPr>
          <w:rFonts w:ascii="宋体" w:hAnsi="宋体"/>
          <w:szCs w:val="21"/>
        </w:rPr>
        <mc:AlternateContent>
          <mc:Choice Requires="wps">
            <w:drawing>
              <wp:anchor distT="0" distB="0" distL="114300" distR="114300" simplePos="0" relativeHeight="251734016" behindDoc="0" locked="0" layoutInCell="1" allowOverlap="1">
                <wp:simplePos x="0" y="0"/>
                <wp:positionH relativeFrom="column">
                  <wp:posOffset>45720</wp:posOffset>
                </wp:positionH>
                <wp:positionV relativeFrom="paragraph">
                  <wp:posOffset>91440</wp:posOffset>
                </wp:positionV>
                <wp:extent cx="6043295" cy="635"/>
                <wp:effectExtent l="0" t="0" r="0" b="0"/>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6043295" cy="635"/>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3.6pt;margin-top:7.2pt;height:0.05pt;width:475.85pt;z-index:251734016;mso-width-relative:page;mso-height-relative:page;" filled="f" stroked="t" coordsize="21600,21600" o:gfxdata="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&#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FOhIILVAAAABwEAAA8AAAAAAAAAAQAgAAAAIgAAAGRy&#10;cy9kb3ducmV2LnhtbFBLAQIUABQAAAAIAIdO4kBPA7S2zwEAAGwDAAAOAAAAAAAAAAEAIAAAACQB&#10;AABkcnMvZTJvRG9jLnhtbFBLBQYAAAAABgAGAFkBAABlBQAAAAA=&#10;">
                <v:fill on="f" focussize="0,0"/>
                <v:stroke color="#000000" joinstyle="round"/>
                <v:imagedata o:title=""/>
                <o:lock v:ext="edit" aspectratio="f"/>
              </v:line>
            </w:pict>
          </mc:Fallback>
        </mc:AlternateContent>
      </w:r>
    </w:p>
    <w:p>
      <w:pPr>
        <w:jc w:val="center"/>
        <w:rPr>
          <w:rFonts w:ascii="宋体" w:hAnsi="宋体"/>
          <w:b/>
          <w:bCs/>
          <w:sz w:val="48"/>
          <w:szCs w:val="48"/>
        </w:rPr>
      </w:pPr>
      <w:r>
        <w:rPr>
          <w:rFonts w:hint="eastAsia" w:ascii="宋体" w:hAnsi="宋体"/>
          <w:b/>
          <w:bCs/>
          <w:sz w:val="48"/>
          <w:szCs w:val="48"/>
        </w:rPr>
        <w:t>南通市大数据发展集团有限公司</w:t>
      </w:r>
    </w:p>
    <w:p>
      <w:pPr>
        <w:jc w:val="center"/>
        <w:rPr>
          <w:rFonts w:ascii="宋体" w:hAnsi="宋体"/>
          <w:b/>
          <w:bCs/>
          <w:sz w:val="48"/>
          <w:szCs w:val="48"/>
        </w:rPr>
      </w:pPr>
    </w:p>
    <w:p>
      <w:pPr>
        <w:jc w:val="center"/>
        <w:rPr>
          <w:rFonts w:ascii="宋体" w:hAnsi="宋体"/>
          <w:b/>
          <w:bCs/>
          <w:sz w:val="36"/>
          <w:szCs w:val="36"/>
        </w:rPr>
      </w:pPr>
      <w:r>
        <w:rPr>
          <w:rFonts w:hint="eastAsia" w:ascii="宋体" w:hAnsi="宋体"/>
          <w:b/>
          <w:bCs/>
          <w:sz w:val="36"/>
          <w:szCs w:val="36"/>
        </w:rPr>
        <w:t>智慧旅游后端硬件系统项目</w:t>
      </w:r>
    </w:p>
    <w:p>
      <w:pPr>
        <w:jc w:val="center"/>
        <w:rPr>
          <w:rFonts w:ascii="宋体" w:hAnsi="宋体"/>
          <w:b/>
          <w:bCs/>
          <w:sz w:val="28"/>
          <w:szCs w:val="28"/>
        </w:rPr>
      </w:pPr>
    </w:p>
    <w:p>
      <w:pPr>
        <w:jc w:val="center"/>
        <w:rPr>
          <w:rFonts w:ascii="宋体" w:hAnsi="宋体"/>
          <w:b/>
          <w:bCs/>
          <w:sz w:val="48"/>
          <w:szCs w:val="48"/>
        </w:rPr>
      </w:pPr>
      <w:r>
        <w:rPr>
          <w:rFonts w:hint="eastAsia" w:ascii="宋体" w:hAnsi="宋体"/>
          <w:b/>
          <w:bCs/>
          <w:sz w:val="48"/>
          <w:szCs w:val="48"/>
        </w:rPr>
        <w:t>投 标 文 件</w:t>
      </w:r>
    </w:p>
    <w:p>
      <w:pPr>
        <w:spacing w:line="420" w:lineRule="exact"/>
        <w:jc w:val="center"/>
        <w:rPr>
          <w:rFonts w:ascii="宋体" w:hAnsi="宋体"/>
          <w:szCs w:val="21"/>
        </w:rPr>
      </w:pPr>
      <w:r>
        <w:rPr>
          <w:rFonts w:ascii="宋体" w:hAnsi="宋体"/>
          <w:szCs w:val="21"/>
        </w:rPr>
        <mc:AlternateContent>
          <mc:Choice Requires="wps">
            <w:drawing>
              <wp:anchor distT="0" distB="0" distL="114300" distR="114300" simplePos="0" relativeHeight="251736064" behindDoc="0" locked="0" layoutInCell="1" allowOverlap="1">
                <wp:simplePos x="0" y="0"/>
                <wp:positionH relativeFrom="column">
                  <wp:posOffset>-15240</wp:posOffset>
                </wp:positionH>
                <wp:positionV relativeFrom="paragraph">
                  <wp:posOffset>0</wp:posOffset>
                </wp:positionV>
                <wp:extent cx="6043295" cy="635"/>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043295" cy="635"/>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1.2pt;margin-top:0pt;height:0.05pt;width:475.85pt;z-index:251736064;mso-width-relative:page;mso-height-relative:page;" filled="f" stroked="t" coordsize="21600,21600" o:gfxdata="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&#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Ku8QgvTAAAABAEAAA8AAAAAAAAAAQAgAAAAIgAAAGRy&#10;cy9kb3ducmV2LnhtbFBLAQIUABQAAAAIAIdO4kCyHZ7J0QEAAGwDAAAOAAAAAAAAAAEAIAAAACIB&#10;AABkcnMvZTJvRG9jLnhtbFBLBQYAAAAABgAGAFkBAABlBQAAAAA=&#10;">
                <v:fill on="f" focussize="0,0"/>
                <v:stroke color="#000000" joinstyle="round"/>
                <v:imagedata o:title=""/>
                <o:lock v:ext="edit" aspectratio="f"/>
              </v:line>
            </w:pict>
          </mc:Fallback>
        </mc:AlternateContent>
      </w:r>
      <w:r>
        <w:rPr>
          <w:rFonts w:ascii="宋体" w:hAnsi="宋体"/>
          <w:szCs w:val="21"/>
        </w:rPr>
        <mc:AlternateContent>
          <mc:Choice Requires="wps">
            <w:drawing>
              <wp:anchor distT="0" distB="0" distL="114300" distR="114300" simplePos="0" relativeHeight="251735040" behindDoc="0" locked="0" layoutInCell="1" allowOverlap="1">
                <wp:simplePos x="0" y="0"/>
                <wp:positionH relativeFrom="column">
                  <wp:posOffset>-7620</wp:posOffset>
                </wp:positionH>
                <wp:positionV relativeFrom="paragraph">
                  <wp:posOffset>106680</wp:posOffset>
                </wp:positionV>
                <wp:extent cx="6043295" cy="635"/>
                <wp:effectExtent l="0" t="19050" r="6985" b="26035"/>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6043295" cy="635"/>
                        </a:xfrm>
                        <a:prstGeom prst="line">
                          <a:avLst/>
                        </a:prstGeom>
                        <a:noFill/>
                        <a:ln w="38100">
                          <a:solidFill>
                            <a:srgbClr val="000000"/>
                          </a:solidFill>
                          <a:round/>
                        </a:ln>
                        <a:effectLst/>
                      </wps:spPr>
                      <wps:bodyPr/>
                    </wps:wsp>
                  </a:graphicData>
                </a:graphic>
              </wp:anchor>
            </w:drawing>
          </mc:Choice>
          <mc:Fallback>
            <w:pict>
              <v:line id="_x0000_s1026" o:spid="_x0000_s1026" o:spt="20" style="position:absolute;left:0pt;margin-left:-0.6pt;margin-top:8.4pt;height:0.05pt;width:475.85pt;z-index:251735040;mso-width-relative:page;mso-height-relative:page;" filled="f" stroked="t" coordsize="21600,21600" o:gfxdata="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Jtuto0gAAAAgBAAAPAAAAAAAAAAEAIAAAACIAAABkcnMv&#10;ZG93bnJldi54bWxQSwECFAAUAAAACACHTuJAUygOWtABAABtAwAADgAAAAAAAAABACAAAAAhAQAA&#10;ZHJzL2Uyb0RvYy54bWxQSwUGAAAAAAYABgBZAQAAYwUAAAAA&#10;">
                <v:fill on="f" focussize="0,0"/>
                <v:stroke weight="3pt" color="#000000" joinstyle="round"/>
                <v:imagedata o:title=""/>
                <o:lock v:ext="edit" aspectratio="f"/>
              </v:line>
            </w:pict>
          </mc:Fallback>
        </mc:AlternateContent>
      </w:r>
    </w:p>
    <w:p>
      <w:pPr>
        <w:spacing w:line="400" w:lineRule="exact"/>
        <w:rPr>
          <w:rFonts w:ascii="宋体" w:hAnsi="宋体"/>
          <w:szCs w:val="21"/>
        </w:rPr>
      </w:pPr>
    </w:p>
    <w:p>
      <w:pPr>
        <w:spacing w:line="400" w:lineRule="exact"/>
        <w:rPr>
          <w:rFonts w:ascii="宋体" w:hAnsi="宋体"/>
          <w:szCs w:val="21"/>
        </w:rPr>
      </w:pPr>
    </w:p>
    <w:p>
      <w:pPr>
        <w:spacing w:line="400" w:lineRule="exact"/>
        <w:rPr>
          <w:rFonts w:ascii="宋体" w:hAnsi="宋体"/>
          <w:szCs w:val="21"/>
        </w:rPr>
      </w:pPr>
    </w:p>
    <w:p>
      <w:pPr>
        <w:spacing w:line="400" w:lineRule="exact"/>
        <w:rPr>
          <w:rFonts w:ascii="宋体" w:hAnsi="宋体"/>
          <w:szCs w:val="21"/>
        </w:rPr>
      </w:pPr>
    </w:p>
    <w:p>
      <w:pPr>
        <w:spacing w:line="400" w:lineRule="exact"/>
        <w:rPr>
          <w:rFonts w:ascii="宋体" w:hAnsi="宋体"/>
          <w:szCs w:val="21"/>
        </w:rPr>
      </w:pPr>
    </w:p>
    <w:p>
      <w:pPr>
        <w:spacing w:line="400" w:lineRule="exact"/>
        <w:rPr>
          <w:rFonts w:ascii="宋体" w:hAnsi="宋体"/>
          <w:szCs w:val="21"/>
        </w:rPr>
      </w:pPr>
    </w:p>
    <w:p>
      <w:pPr>
        <w:spacing w:line="400" w:lineRule="exact"/>
        <w:rPr>
          <w:rFonts w:ascii="宋体" w:hAnsi="宋体"/>
          <w:szCs w:val="21"/>
        </w:rPr>
      </w:pPr>
    </w:p>
    <w:p>
      <w:pPr>
        <w:spacing w:line="400" w:lineRule="exact"/>
        <w:rPr>
          <w:rFonts w:ascii="宋体" w:hAnsi="宋体"/>
          <w:szCs w:val="21"/>
        </w:rPr>
      </w:pPr>
    </w:p>
    <w:p>
      <w:pPr>
        <w:spacing w:line="400" w:lineRule="exact"/>
        <w:rPr>
          <w:rFonts w:ascii="宋体" w:hAnsi="宋体"/>
          <w:szCs w:val="21"/>
        </w:rPr>
      </w:pPr>
    </w:p>
    <w:p>
      <w:pPr>
        <w:spacing w:line="360" w:lineRule="auto"/>
        <w:jc w:val="center"/>
        <w:rPr>
          <w:rFonts w:ascii="宋体" w:hAnsi="宋体"/>
          <w:szCs w:val="21"/>
        </w:rPr>
      </w:pPr>
      <w:r>
        <w:rPr>
          <w:rFonts w:hint="eastAsia" w:ascii="宋体" w:hAnsi="宋体"/>
          <w:szCs w:val="21"/>
        </w:rPr>
        <w:t>投标人：（盖单位章）</w:t>
      </w:r>
    </w:p>
    <w:p>
      <w:pPr>
        <w:spacing w:line="360" w:lineRule="auto"/>
        <w:jc w:val="center"/>
        <w:rPr>
          <w:rFonts w:ascii="宋体" w:hAnsi="宋体"/>
          <w:szCs w:val="21"/>
        </w:rPr>
      </w:pPr>
      <w:r>
        <w:rPr>
          <w:rFonts w:hint="eastAsia" w:ascii="宋体" w:hAnsi="宋体"/>
          <w:szCs w:val="21"/>
        </w:rPr>
        <w:t>法定代表人或其委托代理人：（签字）</w:t>
      </w:r>
    </w:p>
    <w:p>
      <w:pPr>
        <w:spacing w:line="360" w:lineRule="auto"/>
        <w:jc w:val="center"/>
        <w:rPr>
          <w:rFonts w:ascii="宋体" w:hAnsi="宋体"/>
          <w:szCs w:val="21"/>
        </w:rPr>
      </w:pPr>
    </w:p>
    <w:p>
      <w:pPr>
        <w:spacing w:line="360" w:lineRule="auto"/>
        <w:jc w:val="center"/>
        <w:rPr>
          <w:rFonts w:ascii="宋体" w:hAnsi="宋体"/>
          <w:szCs w:val="21"/>
        </w:rPr>
      </w:pPr>
      <w:r>
        <w:rPr>
          <w:rFonts w:hint="eastAsia" w:ascii="宋体" w:hAnsi="宋体"/>
          <w:szCs w:val="21"/>
        </w:rPr>
        <w:t>年月日</w:t>
      </w:r>
      <w:r>
        <w:rPr>
          <w:rFonts w:hint="eastAsia" w:ascii="宋体" w:hAnsi="宋体"/>
          <w:szCs w:val="21"/>
        </w:rPr>
        <w:br w:type="page"/>
      </w:r>
    </w:p>
    <w:p>
      <w:pPr>
        <w:spacing w:line="360" w:lineRule="auto"/>
        <w:jc w:val="center"/>
        <w:rPr>
          <w:rFonts w:ascii="宋体" w:hAnsi="宋体"/>
          <w:szCs w:val="21"/>
        </w:rPr>
      </w:pPr>
    </w:p>
    <w:p>
      <w:pPr>
        <w:jc w:val="center"/>
        <w:outlineLvl w:val="1"/>
        <w:rPr>
          <w:rFonts w:ascii="宋体" w:hAnsi="宋体"/>
          <w:b/>
          <w:bCs/>
          <w:szCs w:val="21"/>
        </w:rPr>
      </w:pPr>
      <w:bookmarkStart w:id="667" w:name="_Toc12017959"/>
      <w:bookmarkStart w:id="668" w:name="_Toc26223"/>
      <w:bookmarkStart w:id="669" w:name="_Toc484435892"/>
      <w:bookmarkStart w:id="670" w:name="_Toc458689106"/>
      <w:bookmarkStart w:id="671" w:name="_Toc2022"/>
      <w:bookmarkStart w:id="672" w:name="_Toc488002677"/>
      <w:bookmarkStart w:id="673" w:name="_Toc475891555"/>
      <w:bookmarkStart w:id="674" w:name="_Toc476245699"/>
      <w:bookmarkStart w:id="675" w:name="_Toc438052120"/>
      <w:bookmarkStart w:id="676" w:name="_Toc475472672"/>
      <w:r>
        <w:rPr>
          <w:rFonts w:hint="eastAsia" w:ascii="宋体" w:hAnsi="宋体"/>
          <w:b/>
          <w:bCs/>
          <w:szCs w:val="21"/>
        </w:rPr>
        <w:t>目  录</w:t>
      </w:r>
      <w:bookmarkEnd w:id="667"/>
      <w:bookmarkEnd w:id="668"/>
      <w:bookmarkEnd w:id="669"/>
      <w:bookmarkEnd w:id="670"/>
      <w:bookmarkEnd w:id="671"/>
    </w:p>
    <w:p>
      <w:pPr>
        <w:rPr>
          <w:rFonts w:ascii="宋体" w:hAnsi="宋体" w:cs="宋体"/>
          <w:szCs w:val="21"/>
        </w:rPr>
      </w:pP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（1）专用印章授权函</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（2）投标函</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（3）法定代表人（负责人）身份证明</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（4）法定代表人（负责人）授权委托书</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（5）廉洁投标承诺书</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（6）商务规范书偏离表</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（7）技术规范书偏离表</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（8）承诺书</w:t>
      </w:r>
    </w:p>
    <w:p>
      <w:pPr>
        <w:snapToGrid w:val="0"/>
        <w:jc w:val="lef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（9）商务技术证明文件</w:t>
      </w:r>
    </w:p>
    <w:p>
      <w:pPr>
        <w:snapToGrid w:val="0"/>
        <w:jc w:val="left"/>
        <w:rPr>
          <w:rFonts w:ascii="宋体" w:hAnsi="宋体" w:cs="宋体"/>
          <w:szCs w:val="21"/>
        </w:rPr>
      </w:pPr>
      <w:r>
        <w:rPr>
          <w:rFonts w:ascii="宋体" w:hAnsi="宋体" w:cs="宋体"/>
          <w:szCs w:val="21"/>
        </w:rPr>
        <w:br w:type="page"/>
      </w:r>
    </w:p>
    <w:p>
      <w:pPr>
        <w:tabs>
          <w:tab w:val="left" w:pos="1050"/>
        </w:tabs>
        <w:spacing w:line="320" w:lineRule="exact"/>
        <w:rPr>
          <w:rFonts w:ascii="宋体" w:hAnsi="宋体" w:cs="宋体"/>
          <w:szCs w:val="21"/>
        </w:rPr>
      </w:pPr>
    </w:p>
    <w:p>
      <w:pPr>
        <w:pStyle w:val="35"/>
        <w:numPr>
          <w:ilvl w:val="0"/>
          <w:numId w:val="12"/>
        </w:numPr>
        <w:tabs>
          <w:tab w:val="left" w:pos="588"/>
        </w:tabs>
        <w:snapToGrid w:val="0"/>
        <w:spacing w:before="120" w:after="120" w:line="440" w:lineRule="exact"/>
        <w:jc w:val="left"/>
        <w:rPr>
          <w:rFonts w:ascii="宋体" w:hAnsi="宋体"/>
          <w:sz w:val="24"/>
        </w:rPr>
      </w:pPr>
      <w:bookmarkStart w:id="677" w:name="_Toc12017960"/>
      <w:r>
        <w:rPr>
          <w:rFonts w:hint="eastAsia" w:ascii="宋体" w:hAnsi="宋体"/>
          <w:sz w:val="24"/>
          <w:szCs w:val="24"/>
        </w:rPr>
        <w:t>专用印章授权函（如有，没有可不填）</w:t>
      </w:r>
      <w:bookmarkEnd w:id="672"/>
      <w:bookmarkEnd w:id="677"/>
    </w:p>
    <w:bookmarkEnd w:id="673"/>
    <w:bookmarkEnd w:id="674"/>
    <w:p>
      <w:pPr>
        <w:spacing w:line="400" w:lineRule="exact"/>
        <w:jc w:val="center"/>
        <w:rPr>
          <w:rFonts w:ascii="宋体" w:hAnsi="宋体"/>
          <w:b/>
          <w:sz w:val="24"/>
        </w:rPr>
      </w:pPr>
    </w:p>
    <w:p>
      <w:pPr>
        <w:spacing w:line="400" w:lineRule="exact"/>
        <w:jc w:val="center"/>
        <w:rPr>
          <w:rFonts w:ascii="宋体" w:hAnsi="宋体"/>
          <w:b/>
          <w:sz w:val="24"/>
        </w:rPr>
      </w:pPr>
      <w:r>
        <w:rPr>
          <w:rFonts w:hint="eastAsia" w:ascii="宋体" w:hAnsi="宋体"/>
          <w:b/>
          <w:sz w:val="24"/>
        </w:rPr>
        <w:t>专用印章授权函</w:t>
      </w:r>
    </w:p>
    <w:p>
      <w:pPr>
        <w:spacing w:line="400" w:lineRule="exact"/>
        <w:jc w:val="center"/>
        <w:rPr>
          <w:rFonts w:hAnsi="宋体"/>
          <w:color w:val="000000"/>
          <w:szCs w:val="21"/>
          <w:u w:val="single"/>
        </w:rPr>
      </w:pPr>
    </w:p>
    <w:p>
      <w:pPr>
        <w:spacing w:line="360" w:lineRule="auto"/>
        <w:rPr>
          <w:rFonts w:asciiTheme="minorEastAsia" w:hAnsiTheme="minorEastAsia" w:eastAsiaTheme="minorEastAsia"/>
          <w:szCs w:val="21"/>
        </w:rPr>
      </w:pPr>
      <w:r>
        <w:rPr>
          <w:rFonts w:hint="eastAsia" w:ascii="宋体" w:hAnsi="宋体"/>
          <w:u w:val="single"/>
        </w:rPr>
        <w:t>南通市大数据发展集团有限公司</w:t>
      </w:r>
      <w:r>
        <w:rPr>
          <w:rFonts w:hint="eastAsia" w:asciiTheme="minorEastAsia" w:hAnsiTheme="minorEastAsia" w:eastAsiaTheme="minorEastAsia"/>
          <w:szCs w:val="21"/>
          <w:u w:val="single"/>
        </w:rPr>
        <w:t>（招标人）</w:t>
      </w:r>
      <w:r>
        <w:rPr>
          <w:rFonts w:hint="eastAsia" w:asciiTheme="minorEastAsia" w:hAnsiTheme="minorEastAsia" w:eastAsiaTheme="minorEastAsia"/>
          <w:szCs w:val="21"/>
        </w:rPr>
        <w:t>：</w:t>
      </w:r>
    </w:p>
    <w:p>
      <w:pPr>
        <w:spacing w:line="360" w:lineRule="auto"/>
        <w:rPr>
          <w:rFonts w:ascii="仿宋_GB2312" w:hAnsi="宋体" w:eastAsia="仿宋_GB2312"/>
          <w:sz w:val="24"/>
        </w:rPr>
      </w:pPr>
    </w:p>
    <w:p>
      <w:pPr>
        <w:spacing w:line="360" w:lineRule="auto"/>
        <w:ind w:firstLine="420" w:firstLineChars="200"/>
        <w:jc w:val="left"/>
        <w:rPr>
          <w:rFonts w:hAnsi="宋体"/>
          <w:szCs w:val="21"/>
        </w:rPr>
      </w:pPr>
      <w:r>
        <w:rPr>
          <w:rFonts w:hint="eastAsia" w:hAnsi="宋体"/>
          <w:szCs w:val="21"/>
        </w:rPr>
        <w:t>我单位特授权在</w:t>
      </w:r>
      <w:r>
        <w:rPr>
          <w:rFonts w:hint="eastAsia" w:ascii="宋体" w:hAnsi="宋体"/>
          <w:szCs w:val="21"/>
          <w:u w:val="single"/>
        </w:rPr>
        <w:t>智慧旅游后端硬件系统项目</w:t>
      </w:r>
      <w:r>
        <w:rPr>
          <w:rFonts w:hint="eastAsia" w:hAnsi="宋体"/>
          <w:szCs w:val="21"/>
          <w:u w:val="single"/>
        </w:rPr>
        <w:t>（招标项目名称）</w:t>
      </w:r>
      <w:r>
        <w:rPr>
          <w:rFonts w:hint="eastAsia" w:hAnsi="宋体"/>
          <w:szCs w:val="21"/>
        </w:rPr>
        <w:t>的投标活动中使用“</w:t>
      </w:r>
      <w:r>
        <w:rPr>
          <w:rFonts w:hint="eastAsia" w:hAnsi="宋体"/>
          <w:szCs w:val="21"/>
          <w:u w:val="single"/>
        </w:rPr>
        <w:t>（被授权印章名称）</w:t>
      </w:r>
      <w:r>
        <w:rPr>
          <w:rFonts w:hint="eastAsia" w:hAnsi="宋体"/>
          <w:szCs w:val="21"/>
        </w:rPr>
        <w:t>”，</w:t>
      </w:r>
      <w:r>
        <w:rPr>
          <w:rFonts w:hint="eastAsia" w:hAnsi="宋体"/>
          <w:szCs w:val="21"/>
          <w:u w:val="single"/>
        </w:rPr>
        <w:t>（被授权印章名称）</w:t>
      </w:r>
      <w:r>
        <w:rPr>
          <w:rFonts w:hint="eastAsia" w:hAnsi="宋体"/>
          <w:szCs w:val="21"/>
        </w:rPr>
        <w:t>与我公司公章具有同等法律效力。因使用“</w:t>
      </w:r>
      <w:r>
        <w:rPr>
          <w:rFonts w:hint="eastAsia" w:hAnsi="宋体"/>
          <w:szCs w:val="21"/>
          <w:u w:val="single"/>
        </w:rPr>
        <w:t>（被授权印章名称）</w:t>
      </w:r>
      <w:r>
        <w:rPr>
          <w:rFonts w:hint="eastAsia" w:hAnsi="宋体"/>
          <w:szCs w:val="21"/>
        </w:rPr>
        <w:t>”所引起的法律后果由我单位承担。</w:t>
      </w:r>
    </w:p>
    <w:p>
      <w:pPr>
        <w:spacing w:line="360" w:lineRule="auto"/>
        <w:ind w:firstLine="420" w:firstLineChars="200"/>
        <w:jc w:val="left"/>
        <w:rPr>
          <w:rFonts w:hAnsi="宋体"/>
          <w:szCs w:val="21"/>
        </w:rPr>
      </w:pPr>
    </w:p>
    <w:p>
      <w:pPr>
        <w:spacing w:line="360" w:lineRule="auto"/>
        <w:ind w:firstLine="420" w:firstLineChars="200"/>
        <w:jc w:val="left"/>
        <w:rPr>
          <w:rFonts w:ascii="宋体" w:hAnsi="宋体"/>
          <w:szCs w:val="21"/>
        </w:rPr>
      </w:pPr>
      <w:r>
        <w:rPr>
          <w:rFonts w:hint="eastAsia" w:ascii="宋体" w:hAnsi="宋体"/>
          <w:szCs w:val="21"/>
        </w:rPr>
        <w:t>特此证明。</w:t>
      </w:r>
    </w:p>
    <w:p>
      <w:pPr>
        <w:ind w:firstLine="422" w:firstLineChars="200"/>
        <w:rPr>
          <w:rFonts w:ascii="宋体" w:hAnsi="宋体"/>
          <w:b/>
          <w:szCs w:val="21"/>
        </w:rPr>
      </w:pPr>
    </w:p>
    <w:p>
      <w:pPr>
        <w:ind w:firstLine="422" w:firstLineChars="200"/>
        <w:rPr>
          <w:rFonts w:ascii="宋体" w:hAnsi="宋体"/>
          <w:b/>
          <w:szCs w:val="21"/>
        </w:rPr>
      </w:pPr>
    </w:p>
    <w:p>
      <w:pPr>
        <w:ind w:firstLine="420" w:firstLineChars="200"/>
        <w:rPr>
          <w:rFonts w:ascii="宋体" w:hAnsi="宋体"/>
          <w:szCs w:val="21"/>
        </w:rPr>
      </w:pPr>
      <w:r>
        <w:rPr>
          <w:rFonts w:hint="eastAsia" w:ascii="宋体" w:hAnsi="宋体"/>
          <w:szCs w:val="21"/>
        </w:rPr>
        <w:t xml:space="preserve">被授权印章：                            </w:t>
      </w:r>
    </w:p>
    <w:p>
      <w:pPr>
        <w:rPr>
          <w:rFonts w:ascii="宋体" w:hAnsi="宋体"/>
          <w:szCs w:val="21"/>
        </w:rPr>
      </w:pPr>
      <w:r>
        <mc:AlternateContent>
          <mc:Choice Requires="wps">
            <w:drawing>
              <wp:anchor distT="0" distB="0" distL="114300" distR="114300" simplePos="0" relativeHeight="251664384" behindDoc="0" locked="0" layoutInCell="1" allowOverlap="1">
                <wp:simplePos x="0" y="0"/>
                <wp:positionH relativeFrom="column">
                  <wp:posOffset>209550</wp:posOffset>
                </wp:positionH>
                <wp:positionV relativeFrom="paragraph">
                  <wp:posOffset>89535</wp:posOffset>
                </wp:positionV>
                <wp:extent cx="2057400" cy="1584960"/>
                <wp:effectExtent l="4445" t="4445" r="10795" b="10795"/>
                <wp:wrapNone/>
                <wp:docPr id="17" name="矩形 2"/>
                <wp:cNvGraphicFramePr/>
                <a:graphic xmlns:a="http://schemas.openxmlformats.org/drawingml/2006/main">
                  <a:graphicData uri="http://schemas.microsoft.com/office/word/2010/wordprocessingShape">
                    <wps:wsp>
                      <wps:cNvSpPr>
                        <a:spLocks noChangeArrowheads="1"/>
                      </wps:cNvSpPr>
                      <wps:spPr bwMode="auto">
                        <a:xfrm>
                          <a:off x="0" y="0"/>
                          <a:ext cx="2057400" cy="1584960"/>
                        </a:xfrm>
                        <a:prstGeom prst="rect">
                          <a:avLst/>
                        </a:prstGeom>
                        <a:solidFill>
                          <a:srgbClr val="FFFFFF"/>
                        </a:solidFill>
                        <a:ln w="9525">
                          <a:solidFill>
                            <a:srgbClr val="000000"/>
                          </a:solidFill>
                          <a:miter lim="800000"/>
                        </a:ln>
                        <a:effectLst/>
                      </wps:spPr>
                      <wps:txbx>
                        <w:txbxContent>
                          <w:p>
                            <w:r>
                              <w:rPr>
                                <w:rFonts w:hint="eastAsia"/>
                              </w:rPr>
                              <w:t>（在此盖章）</w:t>
                            </w:r>
                          </w:p>
                        </w:txbxContent>
                      </wps:txbx>
                      <wps:bodyPr rot="0" vert="horz" wrap="square" lIns="91440" tIns="45720" rIns="91440" bIns="45720" anchor="t" anchorCtr="0" upright="1">
                        <a:noAutofit/>
                      </wps:bodyPr>
                    </wps:wsp>
                  </a:graphicData>
                </a:graphic>
              </wp:anchor>
            </w:drawing>
          </mc:Choice>
          <mc:Fallback>
            <w:pict>
              <v:rect id="矩形 2" o:spid="_x0000_s1026" o:spt="1" style="position:absolute;left:0pt;margin-left:16.5pt;margin-top:7.05pt;height:124.8pt;width:162pt;z-index:251664384;mso-width-relative:page;mso-height-relative:page;" fillcolor="#FFFFFF" filled="t" stroked="t" coordsize="21600,21600" o:gfxdata="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wy&#10;HNcAAAAJAQAADwAAAAAAAAABACAAAAAiAAAAZHJzL2Rvd25yZXYueG1sUEsBAhQAFAAAAAgAh07i&#10;QAXJnwUjAgAAPAQAAA4AAAAAAAAAAQAgAAAAJgEAAGRycy9lMm9Eb2MueG1sUEsFBgAAAAAGAAYA&#10;WQEAALsFAAAAAA==&#10;">
                <v:fill on="t" focussize="0,0"/>
                <v:stroke color="#000000" miterlimit="8" joinstyle="miter"/>
                <v:imagedata o:title=""/>
                <o:lock v:ext="edit" aspectratio="f"/>
                <v:textbox>
                  <w:txbxContent>
                    <w:p>
                      <w:r>
                        <w:rPr>
                          <w:rFonts w:hint="eastAsia"/>
                        </w:rPr>
                        <w:t>（在此盖章）</w:t>
                      </w:r>
                    </w:p>
                  </w:txbxContent>
                </v:textbox>
              </v:rect>
            </w:pict>
          </mc:Fallback>
        </mc:AlternateContent>
      </w: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ind w:firstLine="1259" w:firstLineChars="597"/>
        <w:rPr>
          <w:rFonts w:ascii="宋体" w:hAnsi="宋体"/>
          <w:b/>
          <w:szCs w:val="21"/>
        </w:rPr>
      </w:pPr>
    </w:p>
    <w:p>
      <w:pPr>
        <w:ind w:right="18" w:firstLine="4676" w:firstLineChars="2227"/>
        <w:rPr>
          <w:rFonts w:ascii="宋体" w:hAnsi="宋体"/>
          <w:szCs w:val="21"/>
        </w:rPr>
      </w:pPr>
    </w:p>
    <w:p>
      <w:pPr>
        <w:ind w:right="18" w:firstLine="4676" w:firstLineChars="2227"/>
        <w:rPr>
          <w:rFonts w:ascii="宋体" w:hAnsi="宋体"/>
          <w:szCs w:val="21"/>
        </w:rPr>
      </w:pPr>
    </w:p>
    <w:p>
      <w:pPr>
        <w:ind w:right="18" w:firstLine="4676" w:firstLineChars="2227"/>
        <w:rPr>
          <w:rFonts w:ascii="宋体" w:hAnsi="宋体"/>
          <w:szCs w:val="21"/>
        </w:rPr>
      </w:pPr>
    </w:p>
    <w:p>
      <w:pPr>
        <w:ind w:right="18" w:firstLine="4676" w:firstLineChars="2227"/>
        <w:rPr>
          <w:rFonts w:ascii="宋体" w:hAnsi="宋体"/>
          <w:szCs w:val="21"/>
        </w:rPr>
      </w:pPr>
    </w:p>
    <w:p>
      <w:pPr>
        <w:ind w:right="18" w:firstLine="4676" w:firstLineChars="2227"/>
        <w:rPr>
          <w:rFonts w:ascii="宋体" w:hAnsi="宋体"/>
          <w:szCs w:val="21"/>
        </w:rPr>
      </w:pPr>
    </w:p>
    <w:p>
      <w:pPr>
        <w:ind w:right="18" w:firstLine="4676" w:firstLineChars="2227"/>
        <w:rPr>
          <w:rFonts w:ascii="宋体" w:hAnsi="宋体"/>
          <w:szCs w:val="21"/>
        </w:rPr>
      </w:pPr>
    </w:p>
    <w:p>
      <w:pPr>
        <w:ind w:right="18" w:firstLine="4676" w:firstLineChars="2227"/>
        <w:rPr>
          <w:rFonts w:ascii="宋体" w:hAnsi="宋体"/>
          <w:szCs w:val="21"/>
        </w:rPr>
      </w:pPr>
    </w:p>
    <w:p>
      <w:pPr>
        <w:ind w:right="18"/>
        <w:rPr>
          <w:rFonts w:ascii="宋体" w:hAnsi="宋体"/>
          <w:szCs w:val="21"/>
        </w:rPr>
      </w:pPr>
      <w:r>
        <w:rPr>
          <w:rFonts w:hint="eastAsia" w:ascii="宋体" w:hAnsi="宋体"/>
          <w:szCs w:val="21"/>
        </w:rPr>
        <w:t xml:space="preserve">                           投标人名称：（盖单位公章）</w:t>
      </w:r>
    </w:p>
    <w:p>
      <w:pPr>
        <w:spacing w:line="440" w:lineRule="exact"/>
        <w:ind w:firstLine="2835" w:firstLineChars="1350"/>
        <w:rPr>
          <w:rFonts w:ascii="宋体" w:hAnsi="宋体"/>
          <w:szCs w:val="21"/>
        </w:rPr>
      </w:pPr>
      <w:r>
        <w:rPr>
          <w:rFonts w:hint="eastAsia" w:ascii="宋体" w:hAnsi="宋体"/>
          <w:szCs w:val="21"/>
        </w:rPr>
        <w:t>法定代表人（负责人）：（签字）</w:t>
      </w:r>
    </w:p>
    <w:p>
      <w:pPr>
        <w:spacing w:line="440" w:lineRule="exact"/>
        <w:ind w:firstLine="2835" w:firstLineChars="1350"/>
        <w:rPr>
          <w:rFonts w:ascii="宋体" w:hAnsi="宋体"/>
          <w:szCs w:val="21"/>
        </w:rPr>
      </w:pPr>
      <w:r>
        <w:rPr>
          <w:rFonts w:hint="eastAsia" w:ascii="宋体" w:hAnsi="宋体"/>
          <w:szCs w:val="21"/>
        </w:rPr>
        <w:t>2019年   月   日</w:t>
      </w:r>
    </w:p>
    <w:p>
      <w:pPr>
        <w:widowControl/>
        <w:jc w:val="left"/>
        <w:rPr>
          <w:rFonts w:ascii="宋体" w:hAnsi="宋体"/>
          <w:b/>
          <w:bCs/>
          <w:sz w:val="32"/>
          <w:szCs w:val="21"/>
        </w:rPr>
      </w:pPr>
      <w:r>
        <w:rPr>
          <w:rFonts w:ascii="宋体" w:hAnsi="宋体"/>
          <w:szCs w:val="21"/>
        </w:rPr>
        <w:br w:type="page"/>
      </w:r>
    </w:p>
    <w:p>
      <w:pPr>
        <w:pStyle w:val="35"/>
        <w:numPr>
          <w:ilvl w:val="0"/>
          <w:numId w:val="12"/>
        </w:numPr>
        <w:tabs>
          <w:tab w:val="left" w:pos="588"/>
        </w:tabs>
        <w:snapToGrid w:val="0"/>
        <w:spacing w:before="120" w:after="120" w:line="440" w:lineRule="exact"/>
        <w:jc w:val="left"/>
        <w:rPr>
          <w:rFonts w:ascii="宋体" w:hAnsi="宋体"/>
          <w:sz w:val="24"/>
          <w:szCs w:val="24"/>
        </w:rPr>
      </w:pPr>
      <w:bookmarkStart w:id="678" w:name="_Toc12017961"/>
      <w:r>
        <w:rPr>
          <w:rFonts w:hint="eastAsia" w:ascii="宋体" w:hAnsi="宋体"/>
          <w:sz w:val="24"/>
          <w:szCs w:val="24"/>
        </w:rPr>
        <w:t>投标函</w:t>
      </w:r>
      <w:bookmarkEnd w:id="675"/>
      <w:bookmarkEnd w:id="676"/>
      <w:bookmarkEnd w:id="678"/>
    </w:p>
    <w:p>
      <w:pPr>
        <w:pStyle w:val="47"/>
        <w:ind w:firstLine="0" w:firstLineChars="0"/>
        <w:jc w:val="center"/>
        <w:rPr>
          <w:rFonts w:ascii="宋体" w:hAnsi="宋体"/>
          <w:b/>
          <w:sz w:val="24"/>
        </w:rPr>
      </w:pPr>
      <w:r>
        <w:rPr>
          <w:rFonts w:hint="eastAsia" w:ascii="宋体" w:hAnsi="宋体"/>
          <w:b/>
          <w:sz w:val="24"/>
        </w:rPr>
        <w:t>投  标  函</w:t>
      </w:r>
    </w:p>
    <w:p>
      <w:pPr>
        <w:adjustRightInd w:val="0"/>
        <w:snapToGrid w:val="0"/>
        <w:spacing w:line="440" w:lineRule="exact"/>
        <w:jc w:val="left"/>
        <w:rPr>
          <w:rFonts w:ascii="宋体" w:hAnsi="宋体" w:cs="宋体"/>
          <w:szCs w:val="21"/>
        </w:rPr>
      </w:pPr>
      <w:r>
        <w:rPr>
          <w:rFonts w:hint="eastAsia" w:ascii="宋体" w:hAnsi="宋体" w:cs="宋体"/>
          <w:szCs w:val="21"/>
        </w:rPr>
        <w:t>致：</w:t>
      </w:r>
      <w:r>
        <w:rPr>
          <w:rFonts w:hint="eastAsia" w:ascii="宋体" w:hAnsi="宋体"/>
          <w:szCs w:val="21"/>
        </w:rPr>
        <w:t>【</w:t>
      </w:r>
      <w:r>
        <w:rPr>
          <w:rFonts w:hint="eastAsia" w:ascii="宋体" w:hAnsi="宋体"/>
          <w:u w:val="single"/>
        </w:rPr>
        <w:t>XX公司[招标人名称]</w:t>
      </w:r>
      <w:r>
        <w:rPr>
          <w:rFonts w:hint="eastAsia" w:ascii="宋体" w:hAnsi="宋体"/>
          <w:szCs w:val="21"/>
        </w:rPr>
        <w:t>】</w:t>
      </w:r>
      <w:r>
        <w:rPr>
          <w:rFonts w:ascii="宋体" w:hAnsi="宋体" w:cs="宋体"/>
          <w:szCs w:val="21"/>
        </w:rPr>
        <w:t>：</w:t>
      </w:r>
    </w:p>
    <w:p>
      <w:pPr>
        <w:spacing w:line="440" w:lineRule="exact"/>
        <w:ind w:firstLine="420" w:firstLineChars="200"/>
        <w:rPr>
          <w:rFonts w:ascii="宋体" w:hAnsi="宋体"/>
          <w:szCs w:val="21"/>
        </w:rPr>
      </w:pPr>
      <w:r>
        <w:rPr>
          <w:rFonts w:hint="eastAsia" w:ascii="宋体" w:hAnsi="宋体"/>
          <w:szCs w:val="21"/>
          <w:u w:val="single"/>
        </w:rPr>
        <w:t xml:space="preserve">          （投标人名称）</w:t>
      </w:r>
      <w:r>
        <w:rPr>
          <w:rFonts w:hint="eastAsia" w:ascii="宋体" w:hAnsi="宋体"/>
          <w:szCs w:val="21"/>
        </w:rPr>
        <w:t>（以下称“我方”）</w:t>
      </w:r>
      <w:r>
        <w:rPr>
          <w:rFonts w:ascii="宋体" w:hAnsi="宋体"/>
          <w:szCs w:val="21"/>
        </w:rPr>
        <w:t>已仔细研究了</w:t>
      </w:r>
      <w:r>
        <w:rPr>
          <w:rFonts w:hint="eastAsia" w:ascii="宋体" w:hAnsi="宋体"/>
          <w:szCs w:val="21"/>
        </w:rPr>
        <w:t>（招标项目名称）</w:t>
      </w:r>
      <w:r>
        <w:rPr>
          <w:rFonts w:ascii="宋体" w:hAnsi="宋体"/>
          <w:szCs w:val="21"/>
        </w:rPr>
        <w:t>竞争性磋商文件的全部内容</w:t>
      </w:r>
      <w:r>
        <w:rPr>
          <w:rFonts w:hint="eastAsia" w:ascii="宋体" w:hAnsi="宋体"/>
          <w:szCs w:val="21"/>
        </w:rPr>
        <w:t>，</w:t>
      </w:r>
      <w:r>
        <w:rPr>
          <w:rFonts w:ascii="宋体" w:hAnsi="宋体"/>
          <w:bCs/>
          <w:szCs w:val="21"/>
        </w:rPr>
        <w:t>包括</w:t>
      </w:r>
      <w:r>
        <w:rPr>
          <w:rFonts w:hint="eastAsia" w:ascii="宋体" w:hAnsi="宋体"/>
          <w:bCs/>
          <w:szCs w:val="21"/>
        </w:rPr>
        <w:t>澄清或者</w:t>
      </w:r>
      <w:r>
        <w:rPr>
          <w:rFonts w:ascii="宋体" w:hAnsi="宋体"/>
          <w:bCs/>
          <w:szCs w:val="21"/>
        </w:rPr>
        <w:t>修改文件</w:t>
      </w:r>
      <w:r>
        <w:rPr>
          <w:rFonts w:hint="eastAsia" w:ascii="宋体" w:hAnsi="宋体"/>
          <w:bCs/>
          <w:szCs w:val="21"/>
        </w:rPr>
        <w:t>以及</w:t>
      </w:r>
      <w:r>
        <w:rPr>
          <w:rFonts w:ascii="宋体" w:hAnsi="宋体"/>
          <w:bCs/>
          <w:szCs w:val="21"/>
        </w:rPr>
        <w:t>有关附件</w:t>
      </w:r>
      <w:r>
        <w:rPr>
          <w:rFonts w:ascii="宋体" w:hAnsi="宋体"/>
          <w:szCs w:val="21"/>
        </w:rPr>
        <w:t>，</w:t>
      </w:r>
      <w:r>
        <w:rPr>
          <w:rFonts w:hint="eastAsia" w:ascii="宋体" w:hAnsi="宋体"/>
          <w:szCs w:val="21"/>
        </w:rPr>
        <w:t>我方将严格按照竞争性磋商文件要求递交符合要求的全部投标文件。</w:t>
      </w:r>
    </w:p>
    <w:p>
      <w:pPr>
        <w:spacing w:line="440" w:lineRule="exact"/>
        <w:ind w:firstLine="420" w:firstLineChars="200"/>
        <w:rPr>
          <w:rFonts w:ascii="宋体" w:hAnsi="宋体"/>
          <w:szCs w:val="21"/>
        </w:rPr>
      </w:pPr>
      <w:r>
        <w:rPr>
          <w:rFonts w:hint="eastAsia" w:ascii="宋体" w:hAnsi="宋体"/>
          <w:szCs w:val="21"/>
        </w:rPr>
        <w:t>我方承诺如下内容：</w:t>
      </w:r>
    </w:p>
    <w:p>
      <w:pPr>
        <w:pStyle w:val="47"/>
        <w:numPr>
          <w:ilvl w:val="3"/>
          <w:numId w:val="13"/>
        </w:numPr>
        <w:tabs>
          <w:tab w:val="left" w:pos="709"/>
        </w:tabs>
        <w:spacing w:line="440" w:lineRule="exact"/>
        <w:ind w:left="0" w:firstLine="424" w:firstLineChars="202"/>
        <w:rPr>
          <w:rFonts w:ascii="宋体" w:hAnsi="宋体"/>
          <w:szCs w:val="21"/>
        </w:rPr>
      </w:pPr>
      <w:r>
        <w:rPr>
          <w:rFonts w:hint="eastAsia" w:ascii="宋体" w:hAnsi="宋体"/>
          <w:szCs w:val="21"/>
        </w:rPr>
        <w:t>我方的投标文件包含第二章“投标人须知”规定的全部内容。</w:t>
      </w:r>
    </w:p>
    <w:p>
      <w:pPr>
        <w:pStyle w:val="47"/>
        <w:numPr>
          <w:ilvl w:val="3"/>
          <w:numId w:val="13"/>
        </w:numPr>
        <w:tabs>
          <w:tab w:val="left" w:pos="709"/>
        </w:tabs>
        <w:spacing w:line="440" w:lineRule="exact"/>
        <w:ind w:left="0" w:firstLine="424" w:firstLineChars="202"/>
        <w:rPr>
          <w:rFonts w:ascii="宋体" w:hAnsi="宋体"/>
          <w:szCs w:val="21"/>
        </w:rPr>
      </w:pPr>
      <w:r>
        <w:rPr>
          <w:rFonts w:ascii="宋体" w:hAnsi="宋体"/>
          <w:szCs w:val="21"/>
        </w:rPr>
        <w:t>我方承诺在</w:t>
      </w:r>
      <w:r>
        <w:rPr>
          <w:rFonts w:hint="eastAsia" w:ascii="宋体" w:hAnsi="宋体"/>
          <w:szCs w:val="21"/>
        </w:rPr>
        <w:t>竞争性磋商文件规定的</w:t>
      </w:r>
      <w:r>
        <w:rPr>
          <w:rFonts w:ascii="宋体" w:hAnsi="宋体"/>
          <w:szCs w:val="21"/>
        </w:rPr>
        <w:t>投标有效期内不修改、撤销投标文件。</w:t>
      </w:r>
      <w:r>
        <w:rPr>
          <w:rFonts w:hint="eastAsia" w:ascii="宋体" w:hAnsi="宋体"/>
          <w:szCs w:val="21"/>
        </w:rPr>
        <w:t>我方承诺如果在规定的唱价时间后，在投标有效期内撤回投标文件将被贵方没收。</w:t>
      </w:r>
    </w:p>
    <w:p>
      <w:pPr>
        <w:pStyle w:val="47"/>
        <w:numPr>
          <w:ilvl w:val="3"/>
          <w:numId w:val="13"/>
        </w:numPr>
        <w:tabs>
          <w:tab w:val="left" w:pos="709"/>
        </w:tabs>
        <w:spacing w:line="440" w:lineRule="exact"/>
        <w:ind w:left="0" w:firstLine="424" w:firstLineChars="202"/>
        <w:rPr>
          <w:rFonts w:ascii="宋体" w:hAnsi="宋体"/>
          <w:szCs w:val="21"/>
        </w:rPr>
      </w:pPr>
      <w:r>
        <w:rPr>
          <w:rFonts w:hint="eastAsia" w:ascii="宋体" w:hAnsi="宋体"/>
          <w:szCs w:val="21"/>
        </w:rPr>
        <w:t>我方在评选过程中根据评选委员会要求提供的符合相关规定的澄清文件，构成投标文件的组成部分。</w:t>
      </w:r>
    </w:p>
    <w:p>
      <w:pPr>
        <w:pStyle w:val="47"/>
        <w:numPr>
          <w:ilvl w:val="3"/>
          <w:numId w:val="13"/>
        </w:numPr>
        <w:tabs>
          <w:tab w:val="left" w:pos="709"/>
        </w:tabs>
        <w:spacing w:line="440" w:lineRule="exact"/>
        <w:ind w:left="0" w:firstLine="424" w:firstLineChars="202"/>
        <w:rPr>
          <w:rFonts w:ascii="宋体" w:hAnsi="宋体"/>
          <w:szCs w:val="21"/>
        </w:rPr>
      </w:pPr>
      <w:r>
        <w:rPr>
          <w:rFonts w:hint="eastAsia" w:ascii="宋体" w:hAnsi="宋体"/>
          <w:szCs w:val="21"/>
        </w:rPr>
        <w:t>我方同意提供贵方可能要求的与投标有关的一切数据或者资料，并完全理解贵方不一定接受最低价的投标。</w:t>
      </w:r>
    </w:p>
    <w:p>
      <w:pPr>
        <w:pStyle w:val="47"/>
        <w:numPr>
          <w:ilvl w:val="3"/>
          <w:numId w:val="13"/>
        </w:numPr>
        <w:tabs>
          <w:tab w:val="left" w:pos="709"/>
        </w:tabs>
        <w:spacing w:line="440" w:lineRule="exact"/>
        <w:ind w:left="0" w:firstLine="424" w:firstLineChars="202"/>
        <w:rPr>
          <w:rFonts w:ascii="宋体" w:hAnsi="宋体"/>
          <w:szCs w:val="21"/>
        </w:rPr>
      </w:pPr>
      <w:r>
        <w:rPr>
          <w:rFonts w:hint="eastAsia" w:ascii="宋体" w:hAnsi="宋体"/>
          <w:szCs w:val="21"/>
        </w:rPr>
        <w:t>我方承诺不向第三方透露与招标相关的所有信息。</w:t>
      </w:r>
    </w:p>
    <w:p>
      <w:pPr>
        <w:pStyle w:val="47"/>
        <w:numPr>
          <w:ilvl w:val="3"/>
          <w:numId w:val="13"/>
        </w:numPr>
        <w:tabs>
          <w:tab w:val="left" w:pos="709"/>
        </w:tabs>
        <w:spacing w:line="440" w:lineRule="exact"/>
        <w:ind w:left="0" w:firstLine="424" w:firstLineChars="202"/>
        <w:rPr>
          <w:rFonts w:ascii="宋体" w:hAnsi="宋体"/>
          <w:szCs w:val="21"/>
        </w:rPr>
      </w:pPr>
      <w:r>
        <w:rPr>
          <w:rFonts w:ascii="宋体" w:hAnsi="宋体"/>
          <w:szCs w:val="21"/>
        </w:rPr>
        <w:t>如我方中选：</w:t>
      </w:r>
    </w:p>
    <w:p>
      <w:pPr>
        <w:pStyle w:val="47"/>
        <w:numPr>
          <w:ilvl w:val="0"/>
          <w:numId w:val="14"/>
        </w:numPr>
        <w:tabs>
          <w:tab w:val="left" w:pos="993"/>
        </w:tabs>
        <w:spacing w:line="440" w:lineRule="exact"/>
        <w:ind w:left="0" w:firstLine="426" w:firstLineChars="0"/>
        <w:rPr>
          <w:rFonts w:ascii="宋体" w:hAnsi="宋体"/>
          <w:szCs w:val="21"/>
        </w:rPr>
      </w:pPr>
      <w:r>
        <w:rPr>
          <w:rFonts w:ascii="宋体" w:hAnsi="宋体"/>
          <w:szCs w:val="21"/>
        </w:rPr>
        <w:t>我方承诺在收到中选通知书后，在中选通知书规定的期限内与你方签订合同。</w:t>
      </w:r>
    </w:p>
    <w:p>
      <w:pPr>
        <w:pStyle w:val="47"/>
        <w:numPr>
          <w:ilvl w:val="0"/>
          <w:numId w:val="14"/>
        </w:numPr>
        <w:tabs>
          <w:tab w:val="left" w:pos="993"/>
        </w:tabs>
        <w:spacing w:line="440" w:lineRule="exact"/>
        <w:ind w:left="0" w:firstLine="426" w:firstLineChars="0"/>
        <w:rPr>
          <w:rFonts w:ascii="宋体" w:hAnsi="宋体"/>
          <w:szCs w:val="21"/>
        </w:rPr>
      </w:pPr>
      <w:r>
        <w:rPr>
          <w:rFonts w:ascii="宋体" w:hAnsi="宋体"/>
          <w:szCs w:val="21"/>
        </w:rPr>
        <w:t>我方承诺</w:t>
      </w:r>
      <w:r>
        <w:rPr>
          <w:rFonts w:hint="eastAsia" w:ascii="宋体" w:hAnsi="宋体"/>
          <w:szCs w:val="21"/>
        </w:rPr>
        <w:t>按照竞争性磋商文件的规定及合同约定履行相关责任和义务。</w:t>
      </w:r>
    </w:p>
    <w:p>
      <w:pPr>
        <w:spacing w:line="440" w:lineRule="exact"/>
        <w:ind w:firstLine="420" w:firstLineChars="200"/>
        <w:rPr>
          <w:rFonts w:ascii="宋体" w:hAnsi="宋体"/>
          <w:szCs w:val="21"/>
        </w:rPr>
      </w:pPr>
      <w:r>
        <w:rPr>
          <w:rFonts w:hint="eastAsia" w:ascii="宋体" w:hAnsi="宋体"/>
          <w:szCs w:val="21"/>
        </w:rPr>
        <w:t>我方在此声明，所递交的投标文件及有关资料内容完整、真实和准确，且不存在第二章“投标人须知”规定的任何一种情形。</w:t>
      </w:r>
      <w:r>
        <w:rPr>
          <w:rFonts w:ascii="宋体" w:hAnsi="宋体"/>
          <w:szCs w:val="21"/>
        </w:rPr>
        <w:t>如有弄虚作假，将承担相应的法律责任，并赔偿由此造成的一切损失。</w:t>
      </w:r>
    </w:p>
    <w:p>
      <w:pPr>
        <w:pStyle w:val="47"/>
        <w:tabs>
          <w:tab w:val="left" w:pos="709"/>
        </w:tabs>
        <w:spacing w:line="440" w:lineRule="exact"/>
        <w:ind w:left="424" w:firstLine="0" w:firstLineChars="0"/>
        <w:rPr>
          <w:rFonts w:ascii="宋体" w:hAnsi="宋体"/>
          <w:szCs w:val="21"/>
        </w:rPr>
      </w:pPr>
    </w:p>
    <w:p>
      <w:pPr>
        <w:spacing w:line="440" w:lineRule="exact"/>
        <w:ind w:firstLine="2835" w:firstLineChars="1350"/>
        <w:rPr>
          <w:rFonts w:ascii="宋体" w:hAnsi="宋体"/>
          <w:szCs w:val="21"/>
        </w:rPr>
      </w:pPr>
      <w:r>
        <w:rPr>
          <w:rFonts w:ascii="宋体" w:hAnsi="宋体"/>
          <w:szCs w:val="21"/>
        </w:rPr>
        <w:t>投标人</w:t>
      </w:r>
      <w:r>
        <w:rPr>
          <w:rFonts w:hint="eastAsia" w:ascii="宋体" w:hAnsi="宋体"/>
          <w:szCs w:val="21"/>
        </w:rPr>
        <w:t>名称</w:t>
      </w:r>
      <w:r>
        <w:rPr>
          <w:rFonts w:ascii="宋体" w:hAnsi="宋体"/>
          <w:szCs w:val="21"/>
        </w:rPr>
        <w:t>：（盖单位公章）</w:t>
      </w:r>
    </w:p>
    <w:p>
      <w:pPr>
        <w:spacing w:line="440" w:lineRule="exact"/>
        <w:ind w:firstLine="2835" w:firstLineChars="1350"/>
        <w:rPr>
          <w:rFonts w:ascii="宋体" w:hAnsi="宋体"/>
          <w:szCs w:val="21"/>
        </w:rPr>
      </w:pPr>
      <w:r>
        <w:rPr>
          <w:rFonts w:ascii="宋体" w:hAnsi="宋体"/>
          <w:szCs w:val="21"/>
        </w:rPr>
        <w:t>法定代表人</w:t>
      </w:r>
      <w:r>
        <w:rPr>
          <w:rFonts w:hint="eastAsia" w:ascii="宋体" w:hAnsi="宋体"/>
          <w:szCs w:val="21"/>
        </w:rPr>
        <w:t>（负责人）</w:t>
      </w:r>
      <w:r>
        <w:rPr>
          <w:rFonts w:ascii="宋体" w:hAnsi="宋体"/>
          <w:szCs w:val="21"/>
        </w:rPr>
        <w:t>或者其委托代理人：（签字）</w:t>
      </w:r>
    </w:p>
    <w:p>
      <w:pPr>
        <w:spacing w:line="440" w:lineRule="exact"/>
        <w:ind w:firstLine="2835" w:firstLineChars="1350"/>
        <w:rPr>
          <w:rFonts w:ascii="宋体" w:hAnsi="宋体"/>
          <w:szCs w:val="21"/>
          <w:u w:val="single"/>
        </w:rPr>
      </w:pPr>
      <w:r>
        <w:rPr>
          <w:rFonts w:ascii="宋体" w:hAnsi="宋体"/>
          <w:szCs w:val="21"/>
        </w:rPr>
        <w:t>地址：</w:t>
      </w:r>
    </w:p>
    <w:p>
      <w:pPr>
        <w:spacing w:line="440" w:lineRule="exact"/>
        <w:ind w:firstLine="2835" w:firstLineChars="1350"/>
        <w:rPr>
          <w:rFonts w:ascii="宋体" w:hAnsi="宋体"/>
          <w:szCs w:val="21"/>
        </w:rPr>
      </w:pPr>
      <w:r>
        <w:rPr>
          <w:rFonts w:ascii="宋体" w:hAnsi="宋体"/>
          <w:szCs w:val="21"/>
        </w:rPr>
        <w:t>电话：</w:t>
      </w:r>
    </w:p>
    <w:p>
      <w:pPr>
        <w:spacing w:line="440" w:lineRule="exact"/>
        <w:ind w:firstLine="2835" w:firstLineChars="1350"/>
        <w:rPr>
          <w:rFonts w:ascii="宋体" w:hAnsi="宋体"/>
          <w:szCs w:val="21"/>
        </w:rPr>
      </w:pPr>
      <w:r>
        <w:rPr>
          <w:rFonts w:hint="eastAsia" w:ascii="宋体" w:hAnsi="宋体"/>
          <w:szCs w:val="21"/>
        </w:rPr>
        <w:t>电子邮箱</w:t>
      </w:r>
      <w:r>
        <w:rPr>
          <w:rFonts w:ascii="宋体" w:hAnsi="宋体"/>
          <w:szCs w:val="21"/>
        </w:rPr>
        <w:t>：</w:t>
      </w:r>
    </w:p>
    <w:p>
      <w:pPr>
        <w:spacing w:line="400" w:lineRule="exact"/>
        <w:ind w:firstLine="2835" w:firstLineChars="1350"/>
        <w:rPr>
          <w:rFonts w:ascii="宋体" w:hAnsi="宋体"/>
        </w:rPr>
      </w:pPr>
      <w:r>
        <w:rPr>
          <w:rFonts w:hint="eastAsia" w:ascii="宋体" w:hAnsi="宋体"/>
        </w:rPr>
        <w:t>日期：XX年XX月XX日</w:t>
      </w:r>
    </w:p>
    <w:p>
      <w:pPr>
        <w:ind w:firstLine="2835" w:firstLineChars="1350"/>
        <w:rPr>
          <w:rFonts w:ascii="宋体" w:hAnsi="宋体"/>
        </w:rPr>
      </w:pPr>
    </w:p>
    <w:p>
      <w:pPr>
        <w:ind w:firstLine="2835" w:firstLineChars="1350"/>
        <w:rPr>
          <w:rFonts w:ascii="宋体" w:hAnsi="宋体"/>
        </w:rPr>
      </w:pPr>
    </w:p>
    <w:p>
      <w:pPr>
        <w:numPr>
          <w:ilvl w:val="0"/>
          <w:numId w:val="15"/>
        </w:numPr>
        <w:topLinePunct/>
        <w:spacing w:line="440" w:lineRule="exact"/>
        <w:ind w:left="422" w:hanging="422" w:hangingChars="201"/>
        <w:jc w:val="left"/>
        <w:rPr>
          <w:rFonts w:ascii="宋体" w:hAnsi="宋体"/>
        </w:rPr>
        <w:sectPr>
          <w:pgSz w:w="11906" w:h="16838"/>
          <w:pgMar w:top="1440" w:right="1800" w:bottom="1440" w:left="1800" w:header="851" w:footer="992" w:gutter="0"/>
          <w:cols w:space="425" w:num="1"/>
          <w:docGrid w:type="lines" w:linePitch="312" w:charSpace="0"/>
        </w:sectPr>
      </w:pPr>
    </w:p>
    <w:p>
      <w:pPr>
        <w:pStyle w:val="35"/>
        <w:numPr>
          <w:ilvl w:val="0"/>
          <w:numId w:val="12"/>
        </w:numPr>
        <w:snapToGrid w:val="0"/>
        <w:spacing w:before="120" w:after="120" w:line="440" w:lineRule="exact"/>
        <w:jc w:val="left"/>
        <w:rPr>
          <w:rFonts w:ascii="宋体" w:hAnsi="宋体"/>
          <w:sz w:val="24"/>
          <w:szCs w:val="24"/>
        </w:rPr>
      </w:pPr>
      <w:bookmarkStart w:id="679" w:name="_Toc492552983"/>
      <w:bookmarkEnd w:id="679"/>
      <w:bookmarkStart w:id="680" w:name="_Toc492552991"/>
      <w:bookmarkEnd w:id="680"/>
      <w:bookmarkStart w:id="681" w:name="_Toc492552985"/>
      <w:bookmarkEnd w:id="681"/>
      <w:bookmarkStart w:id="682" w:name="_Toc492552982"/>
      <w:bookmarkEnd w:id="682"/>
      <w:bookmarkStart w:id="683" w:name="_Toc492552979"/>
      <w:bookmarkEnd w:id="683"/>
      <w:bookmarkStart w:id="684" w:name="_Toc492552973"/>
      <w:bookmarkEnd w:id="684"/>
      <w:bookmarkStart w:id="685" w:name="_Toc492552984"/>
      <w:bookmarkEnd w:id="685"/>
      <w:bookmarkStart w:id="686" w:name="_Toc492552974"/>
      <w:bookmarkEnd w:id="686"/>
      <w:bookmarkStart w:id="687" w:name="_Toc492552999"/>
      <w:bookmarkEnd w:id="687"/>
      <w:bookmarkStart w:id="688" w:name="_Toc492552995"/>
      <w:bookmarkEnd w:id="688"/>
      <w:bookmarkStart w:id="689" w:name="_Toc492552977"/>
      <w:bookmarkEnd w:id="689"/>
      <w:bookmarkStart w:id="690" w:name="_Toc492552992"/>
      <w:bookmarkEnd w:id="690"/>
      <w:bookmarkStart w:id="691" w:name="_Toc492552989"/>
      <w:bookmarkEnd w:id="691"/>
      <w:bookmarkStart w:id="692" w:name="_Toc492552975"/>
      <w:bookmarkEnd w:id="692"/>
      <w:bookmarkStart w:id="693" w:name="_Toc492552980"/>
      <w:bookmarkEnd w:id="693"/>
      <w:bookmarkStart w:id="694" w:name="_Toc492552987"/>
      <w:bookmarkEnd w:id="694"/>
      <w:bookmarkStart w:id="695" w:name="_Toc492552996"/>
      <w:bookmarkEnd w:id="695"/>
      <w:bookmarkStart w:id="696" w:name="_Toc492552990"/>
      <w:bookmarkEnd w:id="696"/>
      <w:bookmarkStart w:id="697" w:name="_Toc492552988"/>
      <w:bookmarkEnd w:id="697"/>
      <w:bookmarkStart w:id="698" w:name="_Toc492552997"/>
      <w:bookmarkEnd w:id="698"/>
      <w:bookmarkStart w:id="699" w:name="_Toc492552994"/>
      <w:bookmarkEnd w:id="699"/>
      <w:bookmarkStart w:id="700" w:name="_Toc492552976"/>
      <w:bookmarkEnd w:id="700"/>
      <w:bookmarkStart w:id="701" w:name="_Toc492552993"/>
      <w:bookmarkEnd w:id="701"/>
      <w:bookmarkStart w:id="702" w:name="_Toc492552998"/>
      <w:bookmarkEnd w:id="702"/>
      <w:bookmarkStart w:id="703" w:name="_Toc492552981"/>
      <w:bookmarkEnd w:id="703"/>
      <w:bookmarkStart w:id="704" w:name="_Toc492552978"/>
      <w:bookmarkEnd w:id="704"/>
      <w:bookmarkStart w:id="705" w:name="_Toc492552986"/>
      <w:bookmarkEnd w:id="705"/>
      <w:bookmarkStart w:id="706" w:name="_Toc475472674"/>
      <w:bookmarkStart w:id="707" w:name="_Toc12017962"/>
      <w:r>
        <w:rPr>
          <w:rFonts w:ascii="宋体" w:hAnsi="宋体"/>
          <w:sz w:val="24"/>
          <w:szCs w:val="24"/>
        </w:rPr>
        <w:t>法定代表人</w:t>
      </w:r>
      <w:r>
        <w:rPr>
          <w:rFonts w:hint="eastAsia" w:ascii="宋体" w:hAnsi="宋体"/>
          <w:sz w:val="24"/>
          <w:szCs w:val="24"/>
        </w:rPr>
        <w:t>（负责人）</w:t>
      </w:r>
      <w:r>
        <w:rPr>
          <w:rFonts w:ascii="宋体" w:hAnsi="宋体"/>
          <w:sz w:val="24"/>
          <w:szCs w:val="24"/>
        </w:rPr>
        <w:t>身份证明</w:t>
      </w:r>
      <w:bookmarkEnd w:id="706"/>
      <w:bookmarkEnd w:id="707"/>
    </w:p>
    <w:p>
      <w:pPr>
        <w:jc w:val="center"/>
        <w:rPr>
          <w:rFonts w:ascii="宋体" w:hAnsi="宋体" w:cs="宋体"/>
          <w:b/>
          <w:sz w:val="24"/>
        </w:rPr>
      </w:pPr>
    </w:p>
    <w:p>
      <w:pPr>
        <w:jc w:val="center"/>
        <w:rPr>
          <w:rFonts w:ascii="宋体" w:hAnsi="宋体" w:cs="宋体"/>
          <w:b/>
          <w:sz w:val="24"/>
        </w:rPr>
      </w:pPr>
      <w:r>
        <w:rPr>
          <w:rFonts w:hint="eastAsia" w:ascii="宋体" w:hAnsi="宋体" w:cs="宋体"/>
          <w:b/>
          <w:sz w:val="24"/>
        </w:rPr>
        <w:t>法定代表人（负责人）身份证明</w:t>
      </w:r>
    </w:p>
    <w:p>
      <w:pPr>
        <w:spacing w:line="440" w:lineRule="exact"/>
        <w:rPr>
          <w:rFonts w:ascii="宋体" w:hAnsi="宋体"/>
          <w:szCs w:val="21"/>
        </w:rPr>
      </w:pPr>
    </w:p>
    <w:p>
      <w:pPr>
        <w:topLinePunct/>
        <w:snapToGrid w:val="0"/>
        <w:spacing w:line="440" w:lineRule="exact"/>
        <w:rPr>
          <w:rFonts w:ascii="宋体" w:hAnsi="宋体"/>
          <w:bCs/>
          <w:szCs w:val="21"/>
          <w:u w:val="single"/>
        </w:rPr>
      </w:pPr>
      <w:r>
        <w:rPr>
          <w:rFonts w:hint="eastAsia" w:ascii="宋体" w:hAnsi="宋体"/>
          <w:bCs/>
          <w:szCs w:val="21"/>
        </w:rPr>
        <w:t>投标</w:t>
      </w:r>
      <w:r>
        <w:rPr>
          <w:rFonts w:ascii="宋体" w:hAnsi="宋体"/>
          <w:bCs/>
          <w:szCs w:val="21"/>
        </w:rPr>
        <w:t>人名称：</w:t>
      </w:r>
    </w:p>
    <w:p>
      <w:pPr>
        <w:topLinePunct/>
        <w:snapToGrid w:val="0"/>
        <w:spacing w:line="440" w:lineRule="exact"/>
        <w:rPr>
          <w:rFonts w:ascii="宋体" w:hAnsi="宋体"/>
          <w:bCs/>
          <w:szCs w:val="21"/>
        </w:rPr>
      </w:pPr>
      <w:r>
        <w:rPr>
          <w:rFonts w:ascii="宋体" w:hAnsi="宋体"/>
          <w:bCs/>
          <w:szCs w:val="21"/>
        </w:rPr>
        <w:t>单位性质：</w:t>
      </w:r>
    </w:p>
    <w:p>
      <w:pPr>
        <w:topLinePunct/>
        <w:snapToGrid w:val="0"/>
        <w:spacing w:line="440" w:lineRule="exact"/>
        <w:rPr>
          <w:rFonts w:ascii="宋体" w:hAnsi="宋体"/>
          <w:bCs/>
          <w:szCs w:val="21"/>
        </w:rPr>
      </w:pPr>
      <w:r>
        <w:rPr>
          <w:rFonts w:ascii="宋体" w:hAnsi="宋体"/>
          <w:bCs/>
          <w:szCs w:val="21"/>
        </w:rPr>
        <w:t>成立时间：年月日</w:t>
      </w:r>
    </w:p>
    <w:p>
      <w:pPr>
        <w:topLinePunct/>
        <w:snapToGrid w:val="0"/>
        <w:spacing w:line="440" w:lineRule="exact"/>
        <w:rPr>
          <w:rFonts w:ascii="宋体" w:hAnsi="宋体"/>
          <w:bCs/>
          <w:szCs w:val="21"/>
        </w:rPr>
      </w:pPr>
      <w:r>
        <w:rPr>
          <w:rFonts w:ascii="宋体" w:hAnsi="宋体"/>
          <w:bCs/>
          <w:szCs w:val="21"/>
        </w:rPr>
        <w:t>经营期限：</w:t>
      </w:r>
    </w:p>
    <w:p>
      <w:pPr>
        <w:topLinePunct/>
        <w:snapToGrid w:val="0"/>
        <w:spacing w:line="440" w:lineRule="exact"/>
        <w:rPr>
          <w:rFonts w:ascii="宋体" w:hAnsi="宋体"/>
          <w:bCs/>
          <w:szCs w:val="21"/>
          <w:u w:val="single"/>
        </w:rPr>
      </w:pPr>
      <w:r>
        <w:rPr>
          <w:rFonts w:ascii="宋体" w:hAnsi="宋体"/>
          <w:bCs/>
          <w:szCs w:val="21"/>
        </w:rPr>
        <w:t>姓名：性别：年龄：职务：</w:t>
      </w:r>
    </w:p>
    <w:p>
      <w:pPr>
        <w:topLinePunct/>
        <w:snapToGrid w:val="0"/>
        <w:spacing w:line="440" w:lineRule="exact"/>
        <w:rPr>
          <w:rFonts w:ascii="宋体" w:hAnsi="宋体"/>
          <w:bCs/>
          <w:szCs w:val="21"/>
        </w:rPr>
      </w:pPr>
      <w:r>
        <w:rPr>
          <w:rFonts w:ascii="宋体" w:hAnsi="宋体"/>
          <w:bCs/>
          <w:szCs w:val="21"/>
        </w:rPr>
        <w:t>系</w:t>
      </w:r>
      <w:r>
        <w:rPr>
          <w:rFonts w:hint="eastAsia" w:ascii="宋体" w:hAnsi="宋体"/>
          <w:u w:val="single"/>
        </w:rPr>
        <w:t>【XX公司</w:t>
      </w:r>
      <w:r>
        <w:rPr>
          <w:rFonts w:hint="eastAsia" w:ascii="宋体" w:hAnsi="宋体"/>
          <w:szCs w:val="21"/>
          <w:u w:val="single"/>
        </w:rPr>
        <w:t>[投标人单位</w:t>
      </w:r>
      <w:r>
        <w:rPr>
          <w:rFonts w:ascii="宋体" w:hAnsi="宋体"/>
          <w:szCs w:val="21"/>
          <w:u w:val="single"/>
        </w:rPr>
        <w:t>名称</w:t>
      </w:r>
      <w:r>
        <w:rPr>
          <w:rFonts w:hint="eastAsia" w:ascii="宋体" w:hAnsi="宋体"/>
          <w:szCs w:val="21"/>
          <w:u w:val="single"/>
        </w:rPr>
        <w:t>]</w:t>
      </w:r>
      <w:r>
        <w:rPr>
          <w:rFonts w:hint="eastAsia" w:ascii="宋体" w:hAnsi="宋体"/>
          <w:u w:val="single"/>
        </w:rPr>
        <w:t>】</w:t>
      </w:r>
      <w:r>
        <w:rPr>
          <w:rFonts w:ascii="宋体" w:hAnsi="宋体"/>
          <w:bCs/>
          <w:szCs w:val="21"/>
        </w:rPr>
        <w:t>的法定代表人。</w:t>
      </w:r>
    </w:p>
    <w:p>
      <w:pPr>
        <w:topLinePunct/>
        <w:snapToGrid w:val="0"/>
        <w:spacing w:line="440" w:lineRule="exact"/>
        <w:ind w:firstLine="420" w:firstLineChars="200"/>
        <w:rPr>
          <w:rFonts w:ascii="宋体" w:hAnsi="宋体"/>
          <w:bCs/>
          <w:szCs w:val="21"/>
        </w:rPr>
      </w:pPr>
      <w:r>
        <w:rPr>
          <w:rFonts w:ascii="宋体" w:hAnsi="宋体"/>
          <w:bCs/>
          <w:szCs w:val="21"/>
        </w:rPr>
        <w:t>特此证明。</w:t>
      </w:r>
    </w:p>
    <w:p>
      <w:pPr>
        <w:topLinePunct/>
        <w:snapToGrid w:val="0"/>
        <w:spacing w:line="440" w:lineRule="exact"/>
        <w:ind w:firstLine="420" w:firstLineChars="200"/>
        <w:rPr>
          <w:rFonts w:ascii="宋体" w:hAnsi="宋体"/>
          <w:bCs/>
          <w:szCs w:val="21"/>
        </w:rPr>
      </w:pPr>
    </w:p>
    <w:p>
      <w:pPr>
        <w:topLinePunct/>
        <w:snapToGrid w:val="0"/>
        <w:spacing w:line="440" w:lineRule="exact"/>
        <w:rPr>
          <w:rFonts w:ascii="宋体" w:hAnsi="宋体"/>
        </w:rPr>
      </w:pPr>
      <w:r>
        <w:rPr>
          <w:rFonts w:ascii="宋体" w:hAnsi="宋体"/>
        </w:rPr>
        <w:t>附：法定代表人身份证复印件</w:t>
      </w:r>
      <w:r>
        <w:rPr>
          <w:rFonts w:hint="eastAsia" w:ascii="宋体" w:hAnsi="宋体"/>
          <w:bCs/>
          <w:szCs w:val="21"/>
        </w:rPr>
        <w:t>(需同时提供正面及背面)</w:t>
      </w:r>
    </w:p>
    <w:p>
      <w:pPr>
        <w:spacing w:line="500" w:lineRule="exact"/>
        <w:rPr>
          <w:rFonts w:ascii="宋体" w:hAnsi="宋体"/>
          <w:szCs w:val="21"/>
        </w:rPr>
      </w:pPr>
      <w:r>
        <w:rPr>
          <w:rFonts w:ascii="宋体" w:hAnsi="宋体"/>
          <w:szCs w:val="21"/>
        </w:rPr>
        <mc:AlternateContent>
          <mc:Choice Requires="wps">
            <w:drawing>
              <wp:anchor distT="0" distB="0" distL="114300" distR="114300" simplePos="0" relativeHeight="251660288" behindDoc="0" locked="0" layoutInCell="1" allowOverlap="1">
                <wp:simplePos x="0" y="0"/>
                <wp:positionH relativeFrom="column">
                  <wp:posOffset>2645410</wp:posOffset>
                </wp:positionH>
                <wp:positionV relativeFrom="paragraph">
                  <wp:posOffset>238760</wp:posOffset>
                </wp:positionV>
                <wp:extent cx="3297555" cy="2113915"/>
                <wp:effectExtent l="4445" t="4445" r="5080" b="15240"/>
                <wp:wrapNone/>
                <wp:docPr id="10" name="流程图: 可选过程 10"/>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jc w:val="center"/>
                              <w:rPr>
                                <w:szCs w:val="21"/>
                              </w:rPr>
                            </w:pPr>
                            <w:r>
                              <w:rPr>
                                <w:rFonts w:hint="eastAsia"/>
                                <w:szCs w:val="21"/>
                              </w:rPr>
                              <w:t>法定代表人身份证背面复印件贴于此处</w:t>
                            </w: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208.3pt;margin-top:18.8pt;height:166.45pt;width:259.65pt;z-index:251660288;mso-width-relative:page;mso-height-relative:page;" fillcolor="#FFFFFF" filled="t" stroked="t" coordsize="21600,21600" o:gfxdata="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MACJfjYAAAACgEAAA8AAAAAAAAA&#10;AQAgAAAAIgAAAGRycy9kb3ducmV2LnhtbFBLAQIUABQAAAAIAIdO4kC3DtytSgIAAGMEAAAOAAAA&#10;AAAAAAEAIAAAACcBAABkcnMvZTJvRG9jLnhtbFBLBQYAAAAABgAGAFkBAADjBQAAAAA=&#10;">
                <v:fill on="t" focussize="0,0"/>
                <v:stroke color="#000000" miterlimit="8" joinstyle="miter"/>
                <v:imagedata o:title=""/>
                <o:lock v:ext="edit" aspectratio="f"/>
                <v:textbox>
                  <w:txbxContent>
                    <w:p>
                      <w:pPr>
                        <w:jc w:val="center"/>
                        <w:rPr>
                          <w:szCs w:val="21"/>
                        </w:rPr>
                      </w:pPr>
                      <w:r>
                        <w:rPr>
                          <w:rFonts w:hint="eastAsia"/>
                          <w:szCs w:val="21"/>
                        </w:rPr>
                        <w:t>法定代表人身份证背面复印件贴于此处</w:t>
                      </w:r>
                    </w:p>
                  </w:txbxContent>
                </v:textbox>
              </v:shape>
            </w:pict>
          </mc:Fallback>
        </mc:AlternateContent>
      </w:r>
      <w:r>
        <w:rPr>
          <w:rFonts w:ascii="宋体" w:hAnsi="宋体"/>
          <w:szCs w:val="21"/>
        </w:rPr>
        <mc:AlternateContent>
          <mc:Choice Requires="wps">
            <w:drawing>
              <wp:anchor distT="0" distB="0" distL="114300" distR="114300" simplePos="0" relativeHeight="251659264" behindDoc="0" locked="0" layoutInCell="1" allowOverlap="1">
                <wp:simplePos x="0" y="0"/>
                <wp:positionH relativeFrom="column">
                  <wp:posOffset>-652145</wp:posOffset>
                </wp:positionH>
                <wp:positionV relativeFrom="paragraph">
                  <wp:posOffset>238760</wp:posOffset>
                </wp:positionV>
                <wp:extent cx="3297555" cy="2113915"/>
                <wp:effectExtent l="4445" t="4445" r="5080" b="15240"/>
                <wp:wrapNone/>
                <wp:docPr id="9" name="流程图: 可选过程 9"/>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jc w:val="center"/>
                              <w:rPr>
                                <w:szCs w:val="21"/>
                              </w:rPr>
                            </w:pPr>
                            <w:r>
                              <w:rPr>
                                <w:rFonts w:hint="eastAsia"/>
                                <w:szCs w:val="21"/>
                              </w:rPr>
                              <w:t>法定代表人身份证正面复印件贴于此处</w:t>
                            </w: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51.35pt;margin-top:18.8pt;height:166.45pt;width:259.65pt;z-index:251659264;mso-width-relative:page;mso-height-relative:page;" fillcolor="#FFFFFF" filled="t" stroked="t" coordsize="21600,21600" o:gfxdata="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iAglc2QAAAAsBAAAPAAAAAAAA&#10;AAEAIAAAACIAAABkcnMvZG93bnJldi54bWxQSwECFAAUAAAACACHTuJA3ornzUoCAABhBAAADgAA&#10;AAAAAAABACAAAAAoAQAAZHJzL2Uyb0RvYy54bWxQSwUGAAAAAAYABgBZAQAA5AUAAAAA&#10;">
                <v:fill on="t" focussize="0,0"/>
                <v:stroke color="#000000" miterlimit="8" joinstyle="miter"/>
                <v:imagedata o:title=""/>
                <o:lock v:ext="edit" aspectratio="f"/>
                <v:textbox>
                  <w:txbxContent>
                    <w:p>
                      <w:pPr>
                        <w:jc w:val="center"/>
                        <w:rPr>
                          <w:szCs w:val="21"/>
                        </w:rPr>
                      </w:pPr>
                      <w:r>
                        <w:rPr>
                          <w:rFonts w:hint="eastAsia"/>
                          <w:szCs w:val="21"/>
                        </w:rPr>
                        <w:t>法定代表人身份证正面复印件贴于此处</w:t>
                      </w:r>
                    </w:p>
                  </w:txbxContent>
                </v:textbox>
              </v:shape>
            </w:pict>
          </mc:Fallback>
        </mc:AlternateContent>
      </w:r>
    </w:p>
    <w:p>
      <w:pPr>
        <w:spacing w:line="500" w:lineRule="exact"/>
        <w:rPr>
          <w:rFonts w:ascii="宋体" w:hAnsi="宋体"/>
          <w:szCs w:val="21"/>
        </w:rPr>
      </w:pPr>
    </w:p>
    <w:p>
      <w:pPr>
        <w:spacing w:line="440" w:lineRule="exact"/>
        <w:rPr>
          <w:rFonts w:ascii="宋体" w:hAnsi="宋体"/>
          <w:szCs w:val="21"/>
        </w:rPr>
      </w:pPr>
    </w:p>
    <w:p>
      <w:pPr>
        <w:spacing w:line="440" w:lineRule="exact"/>
        <w:rPr>
          <w:rFonts w:ascii="宋体" w:hAnsi="宋体"/>
          <w:szCs w:val="21"/>
        </w:rPr>
      </w:pPr>
    </w:p>
    <w:p>
      <w:pPr>
        <w:spacing w:line="500" w:lineRule="exact"/>
        <w:rPr>
          <w:rFonts w:ascii="宋体" w:hAnsi="宋体"/>
          <w:szCs w:val="21"/>
        </w:rPr>
      </w:pPr>
    </w:p>
    <w:p>
      <w:pPr>
        <w:spacing w:line="440" w:lineRule="exact"/>
        <w:rPr>
          <w:rFonts w:ascii="宋体" w:hAnsi="宋体"/>
          <w:szCs w:val="21"/>
        </w:rPr>
      </w:pPr>
    </w:p>
    <w:p>
      <w:pPr>
        <w:spacing w:line="500" w:lineRule="exact"/>
        <w:rPr>
          <w:rFonts w:ascii="宋体" w:hAnsi="宋体"/>
          <w:szCs w:val="21"/>
        </w:rPr>
      </w:pPr>
    </w:p>
    <w:p>
      <w:pPr>
        <w:spacing w:line="440" w:lineRule="exact"/>
        <w:rPr>
          <w:rFonts w:ascii="宋体" w:hAnsi="宋体"/>
          <w:szCs w:val="21"/>
        </w:rPr>
      </w:pPr>
    </w:p>
    <w:p>
      <w:pPr>
        <w:spacing w:line="440" w:lineRule="exact"/>
        <w:rPr>
          <w:rFonts w:ascii="宋体" w:hAnsi="宋体"/>
          <w:szCs w:val="21"/>
        </w:rPr>
      </w:pPr>
    </w:p>
    <w:p>
      <w:pPr>
        <w:spacing w:line="440" w:lineRule="exact"/>
        <w:ind w:firstLine="4305" w:firstLineChars="2050"/>
        <w:rPr>
          <w:rFonts w:ascii="宋体" w:hAnsi="宋体"/>
          <w:szCs w:val="21"/>
        </w:rPr>
      </w:pPr>
      <w:r>
        <w:rPr>
          <w:rFonts w:ascii="宋体" w:hAnsi="宋体"/>
          <w:szCs w:val="21"/>
        </w:rPr>
        <w:t>投标人</w:t>
      </w:r>
      <w:r>
        <w:rPr>
          <w:rFonts w:hint="eastAsia" w:ascii="宋体" w:hAnsi="宋体"/>
          <w:szCs w:val="21"/>
        </w:rPr>
        <w:t>名称</w:t>
      </w:r>
      <w:r>
        <w:rPr>
          <w:rFonts w:ascii="宋体" w:hAnsi="宋体"/>
          <w:szCs w:val="21"/>
        </w:rPr>
        <w:t>：（盖单位公章）</w:t>
      </w:r>
    </w:p>
    <w:p>
      <w:pPr>
        <w:spacing w:line="440" w:lineRule="exact"/>
        <w:ind w:firstLine="4305" w:firstLineChars="2050"/>
        <w:rPr>
          <w:rFonts w:ascii="宋体" w:hAnsi="宋体"/>
          <w:szCs w:val="21"/>
        </w:rPr>
      </w:pPr>
    </w:p>
    <w:p>
      <w:pPr>
        <w:spacing w:line="440" w:lineRule="exact"/>
        <w:rPr>
          <w:rFonts w:ascii="宋体" w:hAnsi="宋体"/>
          <w:szCs w:val="21"/>
        </w:rPr>
      </w:pPr>
      <w:r>
        <w:rPr>
          <w:rFonts w:hint="eastAsia" w:ascii="宋体" w:hAnsi="宋体"/>
        </w:rPr>
        <w:t>日期：XX年XX月XX日</w:t>
      </w:r>
    </w:p>
    <w:p>
      <w:pPr>
        <w:pStyle w:val="35"/>
        <w:numPr>
          <w:ilvl w:val="0"/>
          <w:numId w:val="12"/>
        </w:numPr>
        <w:tabs>
          <w:tab w:val="left" w:pos="588"/>
        </w:tabs>
        <w:snapToGrid w:val="0"/>
        <w:spacing w:before="120" w:after="120" w:line="440" w:lineRule="exact"/>
        <w:jc w:val="left"/>
        <w:rPr>
          <w:rFonts w:ascii="宋体" w:hAnsi="宋体"/>
          <w:sz w:val="24"/>
          <w:szCs w:val="24"/>
        </w:rPr>
      </w:pPr>
      <w:r>
        <w:rPr>
          <w:rFonts w:ascii="宋体" w:hAnsi="宋体"/>
          <w:szCs w:val="21"/>
        </w:rPr>
        <w:br w:type="page"/>
      </w:r>
      <w:bookmarkStart w:id="708" w:name="_Toc12017963"/>
      <w:bookmarkStart w:id="709" w:name="_Toc438052122"/>
      <w:bookmarkStart w:id="710" w:name="_Toc475472675"/>
      <w:r>
        <w:rPr>
          <w:rFonts w:ascii="宋体" w:hAnsi="宋体"/>
          <w:sz w:val="24"/>
          <w:szCs w:val="24"/>
        </w:rPr>
        <w:t>法定代表人</w:t>
      </w:r>
      <w:r>
        <w:rPr>
          <w:rFonts w:hint="eastAsia" w:ascii="宋体" w:hAnsi="宋体"/>
          <w:sz w:val="24"/>
          <w:szCs w:val="24"/>
        </w:rPr>
        <w:t>（负责人）</w:t>
      </w:r>
      <w:r>
        <w:rPr>
          <w:rFonts w:ascii="宋体" w:hAnsi="宋体"/>
          <w:sz w:val="24"/>
          <w:szCs w:val="24"/>
        </w:rPr>
        <w:t>授权委托书</w:t>
      </w:r>
      <w:bookmarkEnd w:id="708"/>
      <w:bookmarkEnd w:id="709"/>
      <w:bookmarkEnd w:id="710"/>
    </w:p>
    <w:p>
      <w:pPr>
        <w:jc w:val="center"/>
        <w:rPr>
          <w:rFonts w:ascii="宋体" w:hAnsi="宋体" w:cs="宋体"/>
          <w:b/>
          <w:sz w:val="24"/>
        </w:rPr>
      </w:pPr>
      <w:r>
        <w:rPr>
          <w:rFonts w:hint="eastAsia" w:ascii="宋体" w:hAnsi="宋体" w:cs="宋体"/>
          <w:b/>
          <w:sz w:val="24"/>
        </w:rPr>
        <w:t>法定代表人（负责人）授权委托书</w:t>
      </w:r>
    </w:p>
    <w:p>
      <w:pPr>
        <w:jc w:val="center"/>
        <w:rPr>
          <w:rFonts w:ascii="宋体" w:hAnsi="宋体" w:cs="宋体"/>
          <w:b/>
          <w:sz w:val="24"/>
        </w:rPr>
      </w:pPr>
    </w:p>
    <w:p>
      <w:pPr>
        <w:topLinePunct/>
        <w:snapToGrid w:val="0"/>
        <w:spacing w:line="440" w:lineRule="exact"/>
        <w:ind w:firstLine="420" w:firstLineChars="200"/>
        <w:rPr>
          <w:rFonts w:ascii="宋体" w:hAnsi="宋体"/>
          <w:bCs/>
          <w:szCs w:val="21"/>
        </w:rPr>
      </w:pPr>
      <w:r>
        <w:rPr>
          <w:rFonts w:ascii="宋体" w:hAnsi="宋体"/>
          <w:bCs/>
          <w:szCs w:val="21"/>
        </w:rPr>
        <w:t>本人</w:t>
      </w:r>
      <w:r>
        <w:rPr>
          <w:rFonts w:hint="eastAsia" w:ascii="宋体" w:hAnsi="宋体"/>
          <w:u w:val="single"/>
        </w:rPr>
        <w:t>【XX</w:t>
      </w:r>
      <w:r>
        <w:rPr>
          <w:rFonts w:hint="eastAsia" w:ascii="宋体" w:hAnsi="宋体"/>
          <w:szCs w:val="21"/>
          <w:u w:val="single"/>
        </w:rPr>
        <w:t xml:space="preserve"> [投标人法定代表人（负责人）</w:t>
      </w:r>
      <w:r>
        <w:rPr>
          <w:rFonts w:ascii="宋体" w:hAnsi="宋体"/>
          <w:szCs w:val="21"/>
          <w:u w:val="single"/>
        </w:rPr>
        <w:t>姓名</w:t>
      </w:r>
      <w:r>
        <w:rPr>
          <w:rFonts w:hint="eastAsia" w:ascii="宋体" w:hAnsi="宋体"/>
          <w:szCs w:val="21"/>
          <w:u w:val="single"/>
        </w:rPr>
        <w:t>]</w:t>
      </w:r>
      <w:r>
        <w:rPr>
          <w:rFonts w:hint="eastAsia" w:ascii="宋体" w:hAnsi="宋体"/>
          <w:u w:val="single"/>
        </w:rPr>
        <w:t>】</w:t>
      </w:r>
      <w:r>
        <w:rPr>
          <w:rFonts w:ascii="宋体" w:hAnsi="宋体"/>
          <w:bCs/>
          <w:szCs w:val="21"/>
        </w:rPr>
        <w:t xml:space="preserve">系 </w:t>
      </w:r>
      <w:r>
        <w:rPr>
          <w:rFonts w:hint="eastAsia" w:ascii="宋体" w:hAnsi="宋体"/>
          <w:u w:val="single"/>
        </w:rPr>
        <w:t>【XX公司</w:t>
      </w:r>
      <w:r>
        <w:rPr>
          <w:rFonts w:hint="eastAsia" w:ascii="宋体" w:hAnsi="宋体"/>
          <w:szCs w:val="21"/>
          <w:u w:val="single"/>
        </w:rPr>
        <w:t>[投标</w:t>
      </w:r>
      <w:r>
        <w:rPr>
          <w:rFonts w:ascii="宋体" w:hAnsi="宋体"/>
          <w:szCs w:val="21"/>
          <w:u w:val="single"/>
        </w:rPr>
        <w:t>人名称</w:t>
      </w:r>
      <w:r>
        <w:rPr>
          <w:rFonts w:hint="eastAsia" w:ascii="宋体" w:hAnsi="宋体"/>
          <w:szCs w:val="21"/>
          <w:u w:val="single"/>
        </w:rPr>
        <w:t>]</w:t>
      </w:r>
      <w:r>
        <w:rPr>
          <w:rFonts w:hint="eastAsia" w:ascii="宋体" w:hAnsi="宋体"/>
          <w:u w:val="single"/>
        </w:rPr>
        <w:t>】</w:t>
      </w:r>
      <w:r>
        <w:rPr>
          <w:rFonts w:ascii="宋体" w:hAnsi="宋体"/>
          <w:bCs/>
          <w:szCs w:val="21"/>
        </w:rPr>
        <w:t>的法定代表人，现委托</w:t>
      </w:r>
      <w:r>
        <w:rPr>
          <w:rFonts w:hint="eastAsia" w:ascii="宋体" w:hAnsi="宋体"/>
          <w:u w:val="single"/>
        </w:rPr>
        <w:t>【XX</w:t>
      </w:r>
      <w:r>
        <w:rPr>
          <w:rFonts w:hint="eastAsia" w:ascii="宋体" w:hAnsi="宋体"/>
          <w:szCs w:val="21"/>
          <w:u w:val="single"/>
        </w:rPr>
        <w:t xml:space="preserve"> [委托代理人</w:t>
      </w:r>
      <w:r>
        <w:rPr>
          <w:rFonts w:ascii="宋体" w:hAnsi="宋体"/>
          <w:szCs w:val="21"/>
          <w:u w:val="single"/>
        </w:rPr>
        <w:t>姓名</w:t>
      </w:r>
      <w:r>
        <w:rPr>
          <w:rFonts w:hint="eastAsia" w:ascii="宋体" w:hAnsi="宋体"/>
          <w:szCs w:val="21"/>
          <w:u w:val="single"/>
        </w:rPr>
        <w:t>]</w:t>
      </w:r>
      <w:r>
        <w:rPr>
          <w:rFonts w:hint="eastAsia" w:ascii="宋体" w:hAnsi="宋体"/>
          <w:u w:val="single"/>
        </w:rPr>
        <w:t>】</w:t>
      </w:r>
      <w:r>
        <w:rPr>
          <w:rFonts w:ascii="宋体" w:hAnsi="宋体"/>
          <w:bCs/>
          <w:szCs w:val="21"/>
        </w:rPr>
        <w:t>为我方代理人。代理人根据授权，以我方名义</w:t>
      </w:r>
      <w:r>
        <w:rPr>
          <w:rFonts w:hint="eastAsia" w:ascii="宋体" w:hAnsi="宋体"/>
          <w:bCs/>
          <w:szCs w:val="21"/>
        </w:rPr>
        <w:t>全权处理</w:t>
      </w:r>
      <w:r>
        <w:rPr>
          <w:rFonts w:hint="eastAsia" w:ascii="宋体" w:hAnsi="宋体"/>
          <w:u w:val="single"/>
        </w:rPr>
        <w:t>【XX</w:t>
      </w:r>
      <w:r>
        <w:rPr>
          <w:rFonts w:hint="eastAsia" w:ascii="宋体" w:hAnsi="宋体"/>
          <w:szCs w:val="21"/>
          <w:u w:val="single"/>
        </w:rPr>
        <w:t>项目[</w:t>
      </w:r>
      <w:r>
        <w:rPr>
          <w:rFonts w:ascii="宋体" w:hAnsi="宋体"/>
          <w:bCs/>
          <w:szCs w:val="21"/>
          <w:u w:val="single"/>
        </w:rPr>
        <w:t>招标项目名称</w:t>
      </w:r>
      <w:r>
        <w:rPr>
          <w:rFonts w:hint="eastAsia" w:ascii="宋体" w:hAnsi="宋体"/>
          <w:szCs w:val="21"/>
          <w:u w:val="single"/>
        </w:rPr>
        <w:t>]</w:t>
      </w:r>
      <w:r>
        <w:rPr>
          <w:rFonts w:hint="eastAsia" w:ascii="宋体" w:hAnsi="宋体"/>
          <w:u w:val="single"/>
        </w:rPr>
        <w:t>】【</w:t>
      </w:r>
      <w:r>
        <w:rPr>
          <w:rFonts w:ascii="宋体" w:hAnsi="宋体"/>
          <w:bCs/>
          <w:szCs w:val="21"/>
          <w:u w:val="single"/>
        </w:rPr>
        <w:t>签署、澄清</w:t>
      </w:r>
      <w:r>
        <w:rPr>
          <w:rFonts w:hint="eastAsia" w:ascii="宋体" w:hAnsi="宋体"/>
          <w:bCs/>
          <w:szCs w:val="21"/>
          <w:u w:val="single"/>
        </w:rPr>
        <w:t>、说明、补正</w:t>
      </w:r>
      <w:r>
        <w:rPr>
          <w:rFonts w:ascii="宋体" w:hAnsi="宋体"/>
          <w:bCs/>
          <w:szCs w:val="21"/>
          <w:u w:val="single"/>
        </w:rPr>
        <w:t>、递交、撤回、修改投标文件</w:t>
      </w:r>
      <w:r>
        <w:rPr>
          <w:rFonts w:hint="eastAsia" w:ascii="宋体" w:hAnsi="宋体"/>
          <w:bCs/>
          <w:szCs w:val="21"/>
          <w:u w:val="single"/>
        </w:rPr>
        <w:t>，</w:t>
      </w:r>
      <w:r>
        <w:rPr>
          <w:rFonts w:ascii="宋体" w:hAnsi="宋体"/>
          <w:bCs/>
          <w:szCs w:val="21"/>
          <w:u w:val="single"/>
        </w:rPr>
        <w:t>签订合同和处理</w:t>
      </w:r>
      <w:r>
        <w:rPr>
          <w:rFonts w:hint="eastAsia" w:ascii="宋体" w:hAnsi="宋体"/>
          <w:bCs/>
          <w:szCs w:val="21"/>
          <w:u w:val="single"/>
        </w:rPr>
        <w:t>一切</w:t>
      </w:r>
      <w:r>
        <w:rPr>
          <w:rFonts w:ascii="宋体" w:hAnsi="宋体"/>
          <w:bCs/>
          <w:szCs w:val="21"/>
          <w:u w:val="single"/>
        </w:rPr>
        <w:t>有关事宜</w:t>
      </w:r>
      <w:r>
        <w:rPr>
          <w:rFonts w:hint="eastAsia" w:ascii="宋体" w:hAnsi="宋体"/>
          <w:u w:val="single"/>
        </w:rPr>
        <w:t>】</w:t>
      </w:r>
      <w:r>
        <w:rPr>
          <w:rFonts w:ascii="宋体" w:hAnsi="宋体"/>
          <w:bCs/>
          <w:szCs w:val="21"/>
        </w:rPr>
        <w:t xml:space="preserve">，其法律后果由我方承担。 </w:t>
      </w:r>
    </w:p>
    <w:p>
      <w:pPr>
        <w:topLinePunct/>
        <w:snapToGrid w:val="0"/>
        <w:spacing w:line="440" w:lineRule="exact"/>
        <w:ind w:firstLine="420" w:firstLineChars="200"/>
        <w:rPr>
          <w:rFonts w:ascii="宋体" w:hAnsi="宋体"/>
          <w:bCs/>
          <w:szCs w:val="21"/>
        </w:rPr>
      </w:pPr>
      <w:r>
        <w:rPr>
          <w:rFonts w:ascii="宋体" w:hAnsi="宋体"/>
          <w:bCs/>
          <w:szCs w:val="21"/>
        </w:rPr>
        <w:t>委托期限：</w:t>
      </w:r>
      <w:r>
        <w:rPr>
          <w:rFonts w:hint="eastAsia" w:ascii="宋体" w:hAnsi="宋体"/>
          <w:bCs/>
          <w:szCs w:val="21"/>
        </w:rPr>
        <w:t>。</w:t>
      </w:r>
    </w:p>
    <w:p>
      <w:pPr>
        <w:topLinePunct/>
        <w:snapToGrid w:val="0"/>
        <w:spacing w:line="440" w:lineRule="exact"/>
        <w:ind w:firstLine="420" w:firstLineChars="200"/>
        <w:rPr>
          <w:rFonts w:ascii="宋体" w:hAnsi="宋体"/>
          <w:bCs/>
          <w:szCs w:val="21"/>
        </w:rPr>
      </w:pPr>
      <w:r>
        <w:rPr>
          <w:rFonts w:hint="eastAsia" w:ascii="宋体" w:hAnsi="宋体"/>
          <w:bCs/>
          <w:szCs w:val="21"/>
        </w:rPr>
        <w:t>委托</w:t>
      </w:r>
      <w:r>
        <w:rPr>
          <w:rFonts w:ascii="宋体" w:hAnsi="宋体"/>
          <w:bCs/>
          <w:szCs w:val="21"/>
        </w:rPr>
        <w:t>代理人无转委托权。</w:t>
      </w:r>
    </w:p>
    <w:p>
      <w:pPr>
        <w:spacing w:line="440" w:lineRule="exact"/>
        <w:ind w:firstLine="420" w:firstLineChars="200"/>
        <w:rPr>
          <w:rFonts w:ascii="宋体" w:hAnsi="宋体"/>
          <w:szCs w:val="21"/>
        </w:rPr>
      </w:pPr>
      <w:r>
        <w:rPr>
          <w:rFonts w:hint="eastAsia" w:ascii="宋体" w:hAnsi="宋体"/>
          <w:bCs/>
          <w:szCs w:val="21"/>
        </w:rPr>
        <w:t>附：委托代理人身份证复印件(需同时提供正面及背面)</w:t>
      </w:r>
    </w:p>
    <w:p>
      <w:pPr>
        <w:topLinePunct/>
        <w:snapToGrid w:val="0"/>
        <w:spacing w:line="440" w:lineRule="exact"/>
        <w:ind w:firstLine="420" w:firstLineChars="200"/>
        <w:jc w:val="right"/>
        <w:rPr>
          <w:rFonts w:ascii="宋体" w:hAnsi="宋体"/>
          <w:bCs/>
          <w:szCs w:val="21"/>
        </w:rPr>
      </w:pPr>
    </w:p>
    <w:p>
      <w:pPr>
        <w:topLinePunct/>
        <w:snapToGrid w:val="0"/>
        <w:spacing w:line="440" w:lineRule="exact"/>
        <w:ind w:firstLine="420" w:firstLineChars="200"/>
        <w:jc w:val="right"/>
        <w:rPr>
          <w:rFonts w:ascii="宋体" w:hAnsi="宋体"/>
          <w:bCs/>
          <w:szCs w:val="21"/>
        </w:rPr>
      </w:pPr>
      <w:r>
        <w:rPr>
          <w:rFonts w:ascii="宋体" w:hAnsi="宋体"/>
          <w:bCs/>
          <w:szCs w:val="21"/>
        </w:rPr>
        <w:t>投标人</w:t>
      </w:r>
      <w:r>
        <w:rPr>
          <w:rFonts w:hint="eastAsia" w:ascii="宋体" w:hAnsi="宋体"/>
          <w:bCs/>
          <w:szCs w:val="21"/>
        </w:rPr>
        <w:t>名称</w:t>
      </w:r>
      <w:r>
        <w:rPr>
          <w:rFonts w:ascii="宋体" w:hAnsi="宋体"/>
          <w:bCs/>
          <w:szCs w:val="21"/>
        </w:rPr>
        <w:t>：（盖单位公章）</w:t>
      </w:r>
    </w:p>
    <w:p>
      <w:pPr>
        <w:topLinePunct/>
        <w:snapToGrid w:val="0"/>
        <w:spacing w:line="440" w:lineRule="exact"/>
        <w:ind w:firstLine="2310" w:firstLineChars="1100"/>
        <w:rPr>
          <w:rFonts w:ascii="宋体" w:hAnsi="宋体"/>
          <w:bCs/>
          <w:szCs w:val="21"/>
        </w:rPr>
      </w:pPr>
      <w:r>
        <w:rPr>
          <w:rFonts w:ascii="宋体" w:hAnsi="宋体"/>
          <w:bCs/>
          <w:szCs w:val="21"/>
        </w:rPr>
        <w:t>法定代表人</w:t>
      </w:r>
      <w:r>
        <w:rPr>
          <w:rFonts w:hint="eastAsia" w:ascii="宋体" w:hAnsi="宋体"/>
          <w:bCs/>
          <w:szCs w:val="21"/>
        </w:rPr>
        <w:t>（负责人）</w:t>
      </w:r>
      <w:r>
        <w:rPr>
          <w:rFonts w:ascii="宋体" w:hAnsi="宋体"/>
          <w:bCs/>
          <w:szCs w:val="21"/>
        </w:rPr>
        <w:t>：（签字）</w:t>
      </w:r>
    </w:p>
    <w:p>
      <w:pPr>
        <w:topLinePunct/>
        <w:snapToGrid w:val="0"/>
        <w:spacing w:line="440" w:lineRule="exact"/>
        <w:ind w:firstLine="2310" w:firstLineChars="1100"/>
        <w:rPr>
          <w:rFonts w:ascii="宋体" w:hAnsi="宋体"/>
          <w:bCs/>
          <w:szCs w:val="21"/>
        </w:rPr>
      </w:pPr>
      <w:r>
        <w:rPr>
          <w:rFonts w:ascii="宋体" w:hAnsi="宋体"/>
          <w:bCs/>
          <w:szCs w:val="21"/>
        </w:rPr>
        <w:t>身份证号码：</w:t>
      </w:r>
    </w:p>
    <w:p>
      <w:pPr>
        <w:topLinePunct/>
        <w:snapToGrid w:val="0"/>
        <w:spacing w:line="440" w:lineRule="exact"/>
        <w:ind w:firstLine="2310" w:firstLineChars="1100"/>
        <w:rPr>
          <w:rFonts w:ascii="宋体" w:hAnsi="宋体"/>
          <w:bCs/>
          <w:szCs w:val="21"/>
        </w:rPr>
      </w:pPr>
      <w:r>
        <w:rPr>
          <w:rFonts w:ascii="宋体" w:hAnsi="宋体"/>
          <w:bCs/>
          <w:szCs w:val="21"/>
        </w:rPr>
        <w:t xml:space="preserve">委托代理人：（签字） </w:t>
      </w:r>
    </w:p>
    <w:p>
      <w:pPr>
        <w:topLinePunct/>
        <w:snapToGrid w:val="0"/>
        <w:spacing w:line="440" w:lineRule="exact"/>
        <w:ind w:firstLine="2310" w:firstLineChars="1100"/>
        <w:rPr>
          <w:rFonts w:ascii="宋体" w:hAnsi="宋体"/>
          <w:bCs/>
          <w:szCs w:val="21"/>
        </w:rPr>
      </w:pPr>
      <w:r>
        <w:rPr>
          <w:rFonts w:ascii="宋体" w:hAnsi="宋体"/>
          <w:bCs/>
          <w:szCs w:val="21"/>
        </w:rPr>
        <w:t>身份证号码：</w:t>
      </w:r>
    </w:p>
    <w:p>
      <w:pPr>
        <w:topLinePunct/>
        <w:snapToGrid w:val="0"/>
        <w:spacing w:line="440" w:lineRule="exact"/>
        <w:ind w:firstLine="2310" w:firstLineChars="1100"/>
        <w:rPr>
          <w:rFonts w:ascii="宋体" w:hAnsi="宋体"/>
          <w:bCs/>
          <w:szCs w:val="21"/>
        </w:rPr>
      </w:pPr>
      <w:r>
        <w:rPr>
          <w:rFonts w:hint="eastAsia" w:ascii="宋体" w:hAnsi="宋体"/>
          <w:bCs/>
          <w:szCs w:val="21"/>
        </w:rPr>
        <w:t>委托代理人上级领导：（姓名）</w:t>
      </w:r>
    </w:p>
    <w:p>
      <w:pPr>
        <w:topLinePunct/>
        <w:snapToGrid w:val="0"/>
        <w:spacing w:line="440" w:lineRule="exact"/>
        <w:ind w:firstLine="2310" w:firstLineChars="1100"/>
        <w:rPr>
          <w:rFonts w:ascii="宋体" w:hAnsi="宋体"/>
          <w:bCs/>
          <w:szCs w:val="21"/>
        </w:rPr>
      </w:pPr>
      <w:r>
        <w:rPr>
          <w:rFonts w:hint="eastAsia" w:ascii="宋体" w:hAnsi="宋体"/>
          <w:bCs/>
          <w:szCs w:val="21"/>
        </w:rPr>
        <w:t>联系方式（手机）：</w:t>
      </w:r>
    </w:p>
    <w:p>
      <w:pPr>
        <w:topLinePunct/>
        <w:snapToGrid w:val="0"/>
        <w:spacing w:line="440" w:lineRule="exact"/>
        <w:ind w:firstLine="420" w:firstLineChars="200"/>
        <w:rPr>
          <w:rFonts w:ascii="宋体" w:hAnsi="宋体"/>
        </w:rPr>
      </w:pPr>
      <w:r>
        <w:rPr>
          <w:rFonts w:hint="eastAsia" w:ascii="宋体" w:hAnsi="宋体"/>
        </w:rPr>
        <w:t>日期：XX年XX月XX日</w:t>
      </w:r>
    </w:p>
    <w:p>
      <w:pPr>
        <w:spacing w:line="500" w:lineRule="exact"/>
        <w:rPr>
          <w:rFonts w:ascii="宋体" w:hAnsi="宋体"/>
          <w:szCs w:val="21"/>
        </w:rPr>
      </w:pPr>
      <w:r>
        <w:rPr>
          <w:rFonts w:ascii="宋体" w:hAnsi="宋体"/>
          <w:szCs w:val="21"/>
        </w:rPr>
        <mc:AlternateContent>
          <mc:Choice Requires="wps">
            <w:drawing>
              <wp:anchor distT="0" distB="0" distL="114300" distR="114300" simplePos="0" relativeHeight="251662336" behindDoc="0" locked="0" layoutInCell="1" allowOverlap="1">
                <wp:simplePos x="0" y="0"/>
                <wp:positionH relativeFrom="column">
                  <wp:posOffset>2645410</wp:posOffset>
                </wp:positionH>
                <wp:positionV relativeFrom="paragraph">
                  <wp:posOffset>238760</wp:posOffset>
                </wp:positionV>
                <wp:extent cx="3297555" cy="2113915"/>
                <wp:effectExtent l="4445" t="4445" r="5080" b="15240"/>
                <wp:wrapNone/>
                <wp:docPr id="8" name="流程图: 可选过程 8"/>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jc w:val="center"/>
                              <w:rPr>
                                <w:szCs w:val="21"/>
                              </w:rPr>
                            </w:pPr>
                            <w:r>
                              <w:rPr>
                                <w:rFonts w:hint="eastAsia"/>
                                <w:szCs w:val="21"/>
                              </w:rPr>
                              <w:t>委托代理人身份证背面复印件贴于此处</w:t>
                            </w: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208.3pt;margin-top:18.8pt;height:166.45pt;width:259.65pt;z-index:251662336;mso-width-relative:page;mso-height-relative:page;" fillcolor="#FFFFFF" filled="t" stroked="t" coordsize="21600,21600" o:gfxdata="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wAIl+NgAAAAKAQAADwAAAAAAAAAB&#10;ACAAAAAiAAAAZHJzL2Rvd25yZXYueG1sUEsBAhQAFAAAAAgAh07iQCpfCb9JAgAAYQQAAA4AAAAA&#10;AAAAAQAgAAAAJwEAAGRycy9lMm9Eb2MueG1sUEsFBgAAAAAGAAYAWQEAAOIFAAAAAA==&#10;">
                <v:fill on="t" focussize="0,0"/>
                <v:stroke color="#000000" miterlimit="8" joinstyle="miter"/>
                <v:imagedata o:title=""/>
                <o:lock v:ext="edit" aspectratio="f"/>
                <v:textbox>
                  <w:txbxContent>
                    <w:p>
                      <w:pPr>
                        <w:jc w:val="center"/>
                        <w:rPr>
                          <w:szCs w:val="21"/>
                        </w:rPr>
                      </w:pPr>
                      <w:r>
                        <w:rPr>
                          <w:rFonts w:hint="eastAsia"/>
                          <w:szCs w:val="21"/>
                        </w:rPr>
                        <w:t>委托代理人身份证背面复印件贴于此处</w:t>
                      </w:r>
                    </w:p>
                  </w:txbxContent>
                </v:textbox>
              </v:shape>
            </w:pict>
          </mc:Fallback>
        </mc:AlternateContent>
      </w:r>
      <w:r>
        <w:rPr>
          <w:rFonts w:ascii="宋体" w:hAnsi="宋体"/>
          <w:szCs w:val="21"/>
        </w:rPr>
        <mc:AlternateContent>
          <mc:Choice Requires="wps">
            <w:drawing>
              <wp:anchor distT="0" distB="0" distL="114300" distR="114300" simplePos="0" relativeHeight="251661312" behindDoc="0" locked="0" layoutInCell="1" allowOverlap="1">
                <wp:simplePos x="0" y="0"/>
                <wp:positionH relativeFrom="column">
                  <wp:posOffset>-652145</wp:posOffset>
                </wp:positionH>
                <wp:positionV relativeFrom="paragraph">
                  <wp:posOffset>238760</wp:posOffset>
                </wp:positionV>
                <wp:extent cx="3297555" cy="2113915"/>
                <wp:effectExtent l="4445" t="4445" r="5080" b="15240"/>
                <wp:wrapNone/>
                <wp:docPr id="7" name="流程图: 可选过程 7"/>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jc w:val="center"/>
                              <w:rPr>
                                <w:szCs w:val="21"/>
                              </w:rPr>
                            </w:pPr>
                            <w:r>
                              <w:rPr>
                                <w:rFonts w:hint="eastAsia"/>
                                <w:szCs w:val="21"/>
                              </w:rPr>
                              <w:t>委托代理人身份证正面复印件贴于此处</w:t>
                            </w:r>
                          </w:p>
                          <w:p>
                            <w:pPr>
                              <w:jc w:val="center"/>
                              <w:rPr>
                                <w:szCs w:val="21"/>
                              </w:rPr>
                            </w:pP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51.35pt;margin-top:18.8pt;height:166.45pt;width:259.65pt;z-index:251661312;mso-width-relative:page;mso-height-relative:page;" fillcolor="#FFFFFF" filled="t" stroked="t" coordsize="21600,21600" o:gfxdata="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ICCVzZAAAACwEAAA8AAAAAAAAA&#10;AQAgAAAAIgAAAGRycy9kb3ducmV2LnhtbFBLAQIUABQAAAAIAIdO4kCF02QZSQIAAGEEAAAOAAAA&#10;AAAAAAEAIAAAACgBAABkcnMvZTJvRG9jLnhtbFBLBQYAAAAABgAGAFkBAADjBQAAAAA=&#10;">
                <v:fill on="t" focussize="0,0"/>
                <v:stroke color="#000000" miterlimit="8" joinstyle="miter"/>
                <v:imagedata o:title=""/>
                <o:lock v:ext="edit" aspectratio="f"/>
                <v:textbox>
                  <w:txbxContent>
                    <w:p>
                      <w:pPr>
                        <w:jc w:val="center"/>
                        <w:rPr>
                          <w:szCs w:val="21"/>
                        </w:rPr>
                      </w:pPr>
                      <w:r>
                        <w:rPr>
                          <w:rFonts w:hint="eastAsia"/>
                          <w:szCs w:val="21"/>
                        </w:rPr>
                        <w:t>委托代理人身份证正面复印件贴于此处</w:t>
                      </w:r>
                    </w:p>
                    <w:p>
                      <w:pPr>
                        <w:jc w:val="center"/>
                        <w:rPr>
                          <w:szCs w:val="21"/>
                        </w:rPr>
                      </w:pPr>
                    </w:p>
                  </w:txbxContent>
                </v:textbox>
              </v:shape>
            </w:pict>
          </mc:Fallback>
        </mc:AlternateContent>
      </w:r>
    </w:p>
    <w:p>
      <w:pPr>
        <w:spacing w:line="440" w:lineRule="exact"/>
        <w:rPr>
          <w:rFonts w:ascii="宋体" w:hAnsi="宋体"/>
          <w:szCs w:val="21"/>
        </w:rPr>
      </w:pPr>
    </w:p>
    <w:p>
      <w:pPr>
        <w:spacing w:line="500" w:lineRule="exact"/>
        <w:rPr>
          <w:rFonts w:ascii="宋体" w:hAnsi="宋体"/>
          <w:szCs w:val="21"/>
        </w:rPr>
      </w:pPr>
    </w:p>
    <w:p>
      <w:pPr>
        <w:spacing w:line="440" w:lineRule="exact"/>
        <w:rPr>
          <w:rFonts w:ascii="宋体" w:hAnsi="宋体"/>
          <w:szCs w:val="21"/>
        </w:rPr>
      </w:pPr>
    </w:p>
    <w:p>
      <w:pPr>
        <w:topLinePunct/>
        <w:snapToGrid w:val="0"/>
        <w:spacing w:line="440" w:lineRule="exact"/>
        <w:rPr>
          <w:rFonts w:ascii="宋体" w:hAnsi="宋体"/>
        </w:rPr>
      </w:pPr>
    </w:p>
    <w:p>
      <w:pPr>
        <w:topLinePunct/>
        <w:snapToGrid w:val="0"/>
        <w:spacing w:line="440" w:lineRule="exact"/>
        <w:ind w:firstLine="420" w:firstLineChars="200"/>
        <w:rPr>
          <w:rFonts w:ascii="宋体" w:hAnsi="宋体"/>
          <w:bCs/>
          <w:szCs w:val="21"/>
        </w:rPr>
      </w:pPr>
    </w:p>
    <w:p>
      <w:pPr>
        <w:topLinePunct/>
        <w:snapToGrid w:val="0"/>
        <w:spacing w:line="440" w:lineRule="exact"/>
        <w:ind w:firstLine="420" w:firstLineChars="200"/>
        <w:rPr>
          <w:rFonts w:ascii="宋体" w:hAnsi="宋体"/>
          <w:bCs/>
          <w:szCs w:val="21"/>
        </w:rPr>
      </w:pPr>
    </w:p>
    <w:p>
      <w:pPr>
        <w:topLinePunct/>
        <w:snapToGrid w:val="0"/>
        <w:spacing w:line="440" w:lineRule="exact"/>
        <w:ind w:firstLine="420" w:firstLineChars="200"/>
        <w:rPr>
          <w:rFonts w:ascii="宋体" w:hAnsi="宋体"/>
          <w:bCs/>
          <w:szCs w:val="21"/>
        </w:rPr>
      </w:pPr>
    </w:p>
    <w:p>
      <w:pPr>
        <w:topLinePunct/>
        <w:spacing w:line="440" w:lineRule="exact"/>
        <w:ind w:left="422"/>
        <w:jc w:val="left"/>
        <w:rPr>
          <w:rFonts w:ascii="宋体" w:hAnsi="宋体"/>
        </w:rPr>
        <w:sectPr>
          <w:pgSz w:w="11906" w:h="16838"/>
          <w:pgMar w:top="1440" w:right="1800" w:bottom="1440" w:left="1800" w:header="851" w:footer="992" w:gutter="0"/>
          <w:cols w:space="425" w:num="1"/>
          <w:docGrid w:type="lines" w:linePitch="312" w:charSpace="0"/>
        </w:sectPr>
      </w:pPr>
    </w:p>
    <w:p>
      <w:pPr>
        <w:pStyle w:val="35"/>
        <w:numPr>
          <w:ilvl w:val="0"/>
          <w:numId w:val="12"/>
        </w:numPr>
        <w:jc w:val="left"/>
        <w:rPr>
          <w:sz w:val="24"/>
          <w:szCs w:val="24"/>
        </w:rPr>
      </w:pPr>
      <w:bookmarkStart w:id="711" w:name="_Toc12017964"/>
      <w:r>
        <w:rPr>
          <w:rFonts w:hint="eastAsia"/>
          <w:sz w:val="24"/>
          <w:szCs w:val="24"/>
        </w:rPr>
        <w:t>廉洁投标承诺书</w:t>
      </w:r>
      <w:bookmarkEnd w:id="711"/>
    </w:p>
    <w:p>
      <w:pPr>
        <w:topLinePunct/>
        <w:spacing w:line="440" w:lineRule="exact"/>
        <w:jc w:val="center"/>
        <w:rPr>
          <w:rFonts w:ascii="宋体" w:hAnsi="宋体"/>
          <w:b/>
        </w:rPr>
      </w:pPr>
      <w:r>
        <w:rPr>
          <w:rFonts w:hint="eastAsia" w:ascii="宋体" w:hAnsi="宋体"/>
          <w:b/>
          <w:sz w:val="24"/>
        </w:rPr>
        <w:t>廉洁投标承诺书</w:t>
      </w:r>
    </w:p>
    <w:p>
      <w:pPr>
        <w:spacing w:line="360" w:lineRule="auto"/>
        <w:jc w:val="left"/>
        <w:rPr>
          <w:rFonts w:ascii="仿宋_GB2312" w:hAnsi="宋体" w:eastAsia="仿宋_GB2312"/>
          <w:sz w:val="24"/>
        </w:rPr>
      </w:pPr>
      <w:r>
        <w:rPr>
          <w:rFonts w:hint="eastAsia" w:ascii="仿宋_GB2312" w:hAnsi="宋体" w:eastAsia="仿宋_GB2312"/>
          <w:sz w:val="24"/>
        </w:rPr>
        <w:t>【南通市大数据发展集团有限公司】：</w:t>
      </w:r>
    </w:p>
    <w:p>
      <w:pPr>
        <w:spacing w:line="360" w:lineRule="auto"/>
        <w:ind w:firstLine="477" w:firstLineChars="199"/>
        <w:jc w:val="left"/>
        <w:rPr>
          <w:rFonts w:ascii="仿宋_GB2312" w:hAnsi="宋体" w:eastAsia="仿宋_GB2312"/>
          <w:sz w:val="24"/>
        </w:rPr>
      </w:pPr>
      <w:r>
        <w:rPr>
          <w:rFonts w:hint="eastAsia" w:ascii="仿宋_GB2312" w:hAnsi="宋体" w:eastAsia="仿宋_GB2312"/>
          <w:sz w:val="24"/>
        </w:rPr>
        <w:t>我公司自愿参加【   】招标项目，为保证招标活动公开、公平、公正，依据国家法律法规和廉洁从业相关规定，现承诺如下：</w:t>
      </w:r>
    </w:p>
    <w:p>
      <w:pPr>
        <w:numPr>
          <w:ilvl w:val="0"/>
          <w:numId w:val="16"/>
        </w:numPr>
        <w:tabs>
          <w:tab w:val="left" w:pos="0"/>
          <w:tab w:val="left" w:pos="420"/>
        </w:tabs>
        <w:spacing w:line="360" w:lineRule="auto"/>
        <w:ind w:left="0" w:firstLine="480" w:firstLineChars="200"/>
        <w:jc w:val="left"/>
        <w:rPr>
          <w:rFonts w:ascii="仿宋_GB2312" w:hAnsi="宋体" w:eastAsia="仿宋_GB2312"/>
          <w:sz w:val="24"/>
        </w:rPr>
      </w:pPr>
      <w:r>
        <w:rPr>
          <w:rFonts w:hint="eastAsia" w:ascii="仿宋_GB2312" w:hAnsi="宋体" w:eastAsia="仿宋_GB2312"/>
          <w:sz w:val="24"/>
        </w:rPr>
        <w:t>不以他人名义投标或者以其他方式弄虚作假，骗取中选；</w:t>
      </w:r>
    </w:p>
    <w:p>
      <w:pPr>
        <w:numPr>
          <w:ilvl w:val="0"/>
          <w:numId w:val="16"/>
        </w:numPr>
        <w:tabs>
          <w:tab w:val="left" w:pos="0"/>
          <w:tab w:val="left" w:pos="420"/>
        </w:tabs>
        <w:spacing w:line="360" w:lineRule="auto"/>
        <w:ind w:left="0" w:firstLine="480" w:firstLineChars="200"/>
        <w:jc w:val="left"/>
        <w:rPr>
          <w:rFonts w:ascii="仿宋_GB2312" w:hAnsi="宋体" w:eastAsia="仿宋_GB2312"/>
          <w:sz w:val="24"/>
        </w:rPr>
      </w:pPr>
      <w:r>
        <w:rPr>
          <w:rFonts w:hint="eastAsia" w:ascii="仿宋_GB2312" w:hAnsi="宋体" w:eastAsia="仿宋_GB2312"/>
          <w:sz w:val="24"/>
        </w:rPr>
        <w:t>不与其他投标人相互串通投标或订立攻守同盟；</w:t>
      </w:r>
    </w:p>
    <w:p>
      <w:pPr>
        <w:numPr>
          <w:ilvl w:val="0"/>
          <w:numId w:val="16"/>
        </w:numPr>
        <w:tabs>
          <w:tab w:val="left" w:pos="0"/>
          <w:tab w:val="left" w:pos="420"/>
        </w:tabs>
        <w:spacing w:line="360" w:lineRule="auto"/>
        <w:ind w:left="0" w:firstLine="480" w:firstLineChars="200"/>
        <w:jc w:val="left"/>
        <w:rPr>
          <w:rFonts w:ascii="仿宋_GB2312" w:hAnsi="宋体" w:eastAsia="仿宋_GB2312"/>
          <w:sz w:val="24"/>
        </w:rPr>
      </w:pPr>
      <w:r>
        <w:rPr>
          <w:rFonts w:hint="eastAsia" w:ascii="仿宋_GB2312" w:hAnsi="宋体" w:eastAsia="仿宋_GB2312"/>
          <w:sz w:val="24"/>
        </w:rPr>
        <w:t>不与招标人串通投标；</w:t>
      </w:r>
    </w:p>
    <w:p>
      <w:pPr>
        <w:numPr>
          <w:ilvl w:val="0"/>
          <w:numId w:val="16"/>
        </w:numPr>
        <w:tabs>
          <w:tab w:val="left" w:pos="0"/>
          <w:tab w:val="left" w:pos="420"/>
        </w:tabs>
        <w:spacing w:line="360" w:lineRule="auto"/>
        <w:ind w:left="0" w:firstLine="480" w:firstLineChars="200"/>
        <w:jc w:val="left"/>
        <w:rPr>
          <w:rFonts w:ascii="仿宋_GB2312" w:hAnsi="宋体" w:eastAsia="仿宋_GB2312"/>
          <w:sz w:val="24"/>
        </w:rPr>
      </w:pPr>
      <w:r>
        <w:rPr>
          <w:rFonts w:hint="eastAsia" w:ascii="仿宋_GB2312" w:hAnsi="宋体" w:eastAsia="仿宋_GB2312"/>
          <w:sz w:val="24"/>
        </w:rPr>
        <w:t>不向招标人或评选委员会成员行贿，包括提供现金(礼金)、礼券、礼品、购物卡、有价证券等财物，或娱乐、宴请、旅游等活动，或支付应由其个人承担的学费、餐费、医药费等各种费用等；</w:t>
      </w:r>
    </w:p>
    <w:p>
      <w:pPr>
        <w:numPr>
          <w:ilvl w:val="0"/>
          <w:numId w:val="16"/>
        </w:numPr>
        <w:tabs>
          <w:tab w:val="left" w:pos="0"/>
          <w:tab w:val="left" w:pos="420"/>
        </w:tabs>
        <w:spacing w:line="360" w:lineRule="auto"/>
        <w:ind w:left="0" w:firstLine="480" w:firstLineChars="200"/>
        <w:jc w:val="left"/>
        <w:rPr>
          <w:rFonts w:ascii="仿宋_GB2312" w:hAnsi="宋体" w:eastAsia="仿宋_GB2312"/>
          <w:sz w:val="24"/>
        </w:rPr>
      </w:pPr>
      <w:r>
        <w:rPr>
          <w:rFonts w:hint="eastAsia" w:ascii="仿宋_GB2312" w:hAnsi="宋体" w:eastAsia="仿宋_GB2312"/>
          <w:sz w:val="24"/>
        </w:rPr>
        <w:t>不通过非正常渠道探听采购过程中应当保密的信息，包括(潜在)投标人的数量与名称、评选委员会成员名单和联系方式、其他投标人的投标文件、评选情况及中选推荐意见等。</w:t>
      </w:r>
    </w:p>
    <w:p>
      <w:pPr>
        <w:numPr>
          <w:ilvl w:val="0"/>
          <w:numId w:val="16"/>
        </w:numPr>
        <w:tabs>
          <w:tab w:val="left" w:pos="0"/>
          <w:tab w:val="left" w:pos="420"/>
        </w:tabs>
        <w:spacing w:line="360" w:lineRule="auto"/>
        <w:ind w:left="0" w:firstLine="480" w:firstLineChars="200"/>
        <w:jc w:val="left"/>
        <w:rPr>
          <w:rFonts w:ascii="仿宋_GB2312" w:hAnsi="宋体" w:eastAsia="仿宋_GB2312"/>
          <w:sz w:val="24"/>
        </w:rPr>
      </w:pPr>
      <w:r>
        <w:rPr>
          <w:rFonts w:hint="eastAsia" w:ascii="仿宋_GB2312" w:hAnsi="宋体" w:eastAsia="仿宋_GB2312"/>
          <w:sz w:val="24"/>
        </w:rPr>
        <w:t>不私下接触招标人或评选委员会成员，利用人际关系干扰招标投标活动；</w:t>
      </w:r>
    </w:p>
    <w:p>
      <w:pPr>
        <w:numPr>
          <w:ilvl w:val="0"/>
          <w:numId w:val="16"/>
        </w:numPr>
        <w:tabs>
          <w:tab w:val="left" w:pos="0"/>
          <w:tab w:val="left" w:pos="420"/>
        </w:tabs>
        <w:spacing w:line="360" w:lineRule="auto"/>
        <w:ind w:left="0" w:firstLine="480" w:firstLineChars="200"/>
        <w:jc w:val="left"/>
        <w:rPr>
          <w:rFonts w:ascii="仿宋_GB2312" w:hAnsi="宋体" w:eastAsia="仿宋_GB2312"/>
          <w:sz w:val="24"/>
        </w:rPr>
      </w:pPr>
      <w:r>
        <w:rPr>
          <w:rFonts w:hint="eastAsia" w:ascii="仿宋_GB2312" w:hAnsi="宋体" w:eastAsia="仿宋_GB2312"/>
          <w:sz w:val="24"/>
        </w:rPr>
        <w:t>不在办公场所、招标现场寻衅滋事、无理取闹或以其他手段非法干预、影响招标的过程和结果；</w:t>
      </w:r>
    </w:p>
    <w:p>
      <w:pPr>
        <w:numPr>
          <w:ilvl w:val="0"/>
          <w:numId w:val="16"/>
        </w:numPr>
        <w:tabs>
          <w:tab w:val="left" w:pos="0"/>
          <w:tab w:val="left" w:pos="420"/>
        </w:tabs>
        <w:spacing w:line="360" w:lineRule="auto"/>
        <w:ind w:left="0" w:firstLine="480" w:firstLineChars="200"/>
        <w:jc w:val="left"/>
        <w:rPr>
          <w:rFonts w:ascii="仿宋_GB2312" w:hAnsi="宋体" w:eastAsia="仿宋_GB2312"/>
          <w:sz w:val="24"/>
        </w:rPr>
      </w:pPr>
      <w:r>
        <w:rPr>
          <w:rFonts w:hint="eastAsia" w:ascii="仿宋_GB2312" w:hAnsi="宋体" w:eastAsia="仿宋_GB2312"/>
          <w:sz w:val="24"/>
        </w:rPr>
        <w:t>不捏造事实、伪造材料，或以非法取得的材料进行恶意投诉与诬陷；不毫无根据地散播不实消息，诋毁他人名誉，主观臆断反映问题与诉求。</w:t>
      </w:r>
    </w:p>
    <w:p>
      <w:pPr>
        <w:numPr>
          <w:ilvl w:val="0"/>
          <w:numId w:val="16"/>
        </w:numPr>
        <w:tabs>
          <w:tab w:val="left" w:pos="0"/>
          <w:tab w:val="left" w:pos="420"/>
        </w:tabs>
        <w:spacing w:line="360" w:lineRule="auto"/>
        <w:ind w:left="0" w:firstLine="480" w:firstLineChars="200"/>
        <w:jc w:val="left"/>
        <w:rPr>
          <w:rFonts w:ascii="仿宋_GB2312" w:hAnsi="宋体" w:eastAsia="仿宋_GB2312"/>
          <w:sz w:val="24"/>
        </w:rPr>
      </w:pPr>
      <w:r>
        <w:rPr>
          <w:rFonts w:hint="eastAsia" w:ascii="仿宋_GB2312" w:hAnsi="宋体" w:eastAsia="仿宋_GB2312"/>
          <w:sz w:val="24"/>
        </w:rPr>
        <w:t>不以低于成本的报价竞标；</w:t>
      </w:r>
    </w:p>
    <w:p>
      <w:pPr>
        <w:numPr>
          <w:ilvl w:val="0"/>
          <w:numId w:val="16"/>
        </w:numPr>
        <w:tabs>
          <w:tab w:val="left" w:pos="0"/>
          <w:tab w:val="left" w:pos="420"/>
        </w:tabs>
        <w:spacing w:line="360" w:lineRule="auto"/>
        <w:ind w:left="0" w:firstLine="480" w:firstLineChars="200"/>
        <w:jc w:val="left"/>
        <w:rPr>
          <w:rFonts w:ascii="仿宋_GB2312" w:hAnsi="宋体" w:eastAsia="仿宋_GB2312"/>
          <w:sz w:val="24"/>
        </w:rPr>
      </w:pPr>
      <w:r>
        <w:rPr>
          <w:rFonts w:hint="eastAsia" w:ascii="仿宋_GB2312" w:hAnsi="宋体" w:eastAsia="仿宋_GB2312"/>
          <w:sz w:val="24"/>
        </w:rPr>
        <w:t>不以其他方式排挤其他投标人的公平竞争。</w:t>
      </w:r>
    </w:p>
    <w:p>
      <w:pPr>
        <w:numPr>
          <w:ilvl w:val="0"/>
          <w:numId w:val="16"/>
        </w:numPr>
        <w:tabs>
          <w:tab w:val="left" w:pos="0"/>
          <w:tab w:val="left" w:pos="420"/>
        </w:tabs>
        <w:spacing w:line="360" w:lineRule="auto"/>
        <w:ind w:left="0" w:firstLine="480" w:firstLineChars="200"/>
        <w:jc w:val="left"/>
        <w:rPr>
          <w:rFonts w:ascii="仿宋_GB2312" w:hAnsi="宋体" w:eastAsia="仿宋_GB2312"/>
          <w:sz w:val="24"/>
        </w:rPr>
      </w:pPr>
      <w:r>
        <w:rPr>
          <w:rFonts w:hint="eastAsia" w:ascii="仿宋_GB2312" w:hAnsi="宋体" w:eastAsia="仿宋_GB2312"/>
          <w:sz w:val="24"/>
        </w:rPr>
        <w:t>在最近五年内参与的采购活动中没有行贿犯罪记录。</w:t>
      </w:r>
    </w:p>
    <w:p>
      <w:pPr>
        <w:spacing w:line="360" w:lineRule="auto"/>
        <w:ind w:firstLine="479" w:firstLineChars="199"/>
        <w:jc w:val="left"/>
        <w:rPr>
          <w:rFonts w:ascii="仿宋_GB2312" w:hAnsi="宋体" w:eastAsia="仿宋_GB2312"/>
          <w:sz w:val="24"/>
        </w:rPr>
      </w:pPr>
      <w:r>
        <w:rPr>
          <w:rFonts w:hint="eastAsia" w:ascii="仿宋_GB2312" w:hAnsi="宋体" w:eastAsia="仿宋_GB2312"/>
          <w:b/>
          <w:bCs/>
          <w:sz w:val="24"/>
        </w:rPr>
        <w:t>如发生任何违反本承诺的行为，除按法律法规接受处罚外，招标人有权否决我方本次投标、宣布中选无效、暂停甚至取消我方参加招标人后续招标项目的投标资格等。</w:t>
      </w:r>
    </w:p>
    <w:p>
      <w:pPr>
        <w:spacing w:line="360" w:lineRule="auto"/>
        <w:ind w:firstLine="477" w:firstLineChars="199"/>
        <w:jc w:val="left"/>
        <w:rPr>
          <w:rFonts w:ascii="仿宋_GB2312" w:hAnsi="宋体" w:eastAsia="仿宋_GB2312"/>
          <w:sz w:val="24"/>
        </w:rPr>
      </w:pPr>
    </w:p>
    <w:p>
      <w:pPr>
        <w:spacing w:line="360" w:lineRule="auto"/>
        <w:ind w:firstLine="2400" w:firstLineChars="1000"/>
        <w:rPr>
          <w:rFonts w:ascii="宋体" w:hAnsi="宋体"/>
          <w:szCs w:val="21"/>
        </w:rPr>
      </w:pPr>
      <w:r>
        <w:rPr>
          <w:rFonts w:hint="eastAsia" w:ascii="仿宋_GB2312" w:hAnsi="宋体" w:eastAsia="仿宋_GB2312"/>
          <w:sz w:val="24"/>
        </w:rPr>
        <w:t>投标人：                            （盖单位印章）</w:t>
      </w:r>
    </w:p>
    <w:p>
      <w:pPr>
        <w:widowControl/>
        <w:jc w:val="left"/>
        <w:rPr>
          <w:rFonts w:ascii="宋体" w:hAnsi="宋体"/>
        </w:rPr>
      </w:pPr>
      <w:r>
        <w:rPr>
          <w:rFonts w:ascii="宋体" w:hAnsi="宋体"/>
        </w:rPr>
        <w:br w:type="page"/>
      </w:r>
    </w:p>
    <w:p>
      <w:pPr>
        <w:pStyle w:val="35"/>
        <w:numPr>
          <w:ilvl w:val="0"/>
          <w:numId w:val="12"/>
        </w:numPr>
        <w:tabs>
          <w:tab w:val="left" w:pos="588"/>
        </w:tabs>
        <w:snapToGrid w:val="0"/>
        <w:spacing w:before="120" w:after="120" w:line="440" w:lineRule="exact"/>
        <w:jc w:val="left"/>
        <w:rPr>
          <w:rFonts w:ascii="宋体" w:hAnsi="宋体"/>
          <w:sz w:val="24"/>
          <w:szCs w:val="24"/>
        </w:rPr>
      </w:pPr>
      <w:bookmarkStart w:id="712" w:name="_Toc486866109"/>
      <w:bookmarkStart w:id="713" w:name="_Toc12017965"/>
      <w:bookmarkStart w:id="714" w:name="_Toc475472683"/>
      <w:bookmarkStart w:id="715" w:name="_Toc447265324"/>
      <w:bookmarkStart w:id="716" w:name="_Toc447265610"/>
      <w:r>
        <w:rPr>
          <w:rFonts w:hint="eastAsia" w:ascii="宋体" w:hAnsi="宋体"/>
          <w:sz w:val="24"/>
          <w:szCs w:val="24"/>
        </w:rPr>
        <w:t>商务规范书偏离表</w:t>
      </w:r>
      <w:bookmarkEnd w:id="712"/>
      <w:bookmarkEnd w:id="713"/>
      <w:bookmarkEnd w:id="714"/>
      <w:bookmarkEnd w:id="715"/>
      <w:bookmarkEnd w:id="716"/>
    </w:p>
    <w:p>
      <w:pPr>
        <w:rPr>
          <w:rFonts w:ascii="宋体" w:hAnsi="宋体" w:cs="宋体"/>
        </w:rPr>
      </w:pPr>
    </w:p>
    <w:p>
      <w:pPr>
        <w:pStyle w:val="47"/>
        <w:ind w:firstLine="0" w:firstLineChars="0"/>
        <w:jc w:val="center"/>
        <w:rPr>
          <w:rFonts w:ascii="宋体" w:hAnsi="宋体"/>
          <w:b/>
          <w:sz w:val="24"/>
        </w:rPr>
      </w:pPr>
      <w:bookmarkStart w:id="717" w:name="_Toc477190506"/>
      <w:bookmarkEnd w:id="717"/>
      <w:bookmarkStart w:id="718" w:name="_Toc477190531"/>
      <w:bookmarkEnd w:id="718"/>
      <w:bookmarkStart w:id="719" w:name="_Toc477190507"/>
      <w:bookmarkEnd w:id="719"/>
      <w:bookmarkStart w:id="720" w:name="_Toc477190425"/>
      <w:bookmarkEnd w:id="720"/>
      <w:bookmarkStart w:id="721" w:name="_Toc477190512"/>
      <w:bookmarkEnd w:id="721"/>
      <w:bookmarkStart w:id="722" w:name="_Toc477190577"/>
      <w:bookmarkEnd w:id="722"/>
      <w:bookmarkStart w:id="723" w:name="_Toc477190505"/>
      <w:bookmarkEnd w:id="723"/>
      <w:bookmarkStart w:id="724" w:name="_Toc477190431"/>
      <w:bookmarkEnd w:id="724"/>
      <w:bookmarkStart w:id="725" w:name="_Toc477190449"/>
      <w:bookmarkEnd w:id="725"/>
      <w:bookmarkStart w:id="726" w:name="_Toc477190649"/>
      <w:bookmarkEnd w:id="726"/>
      <w:bookmarkStart w:id="727" w:name="_Toc477190456"/>
      <w:bookmarkEnd w:id="727"/>
      <w:bookmarkStart w:id="728" w:name="_Toc477190646"/>
      <w:bookmarkEnd w:id="728"/>
      <w:bookmarkStart w:id="729" w:name="_Toc477190652"/>
      <w:bookmarkEnd w:id="729"/>
      <w:bookmarkStart w:id="730" w:name="_Toc477190590"/>
      <w:bookmarkEnd w:id="730"/>
      <w:bookmarkStart w:id="731" w:name="_Toc477190434"/>
      <w:bookmarkEnd w:id="731"/>
      <w:bookmarkStart w:id="732" w:name="_Toc477190445"/>
      <w:bookmarkEnd w:id="732"/>
      <w:bookmarkStart w:id="733" w:name="_Toc477190566"/>
      <w:bookmarkEnd w:id="733"/>
      <w:bookmarkStart w:id="734" w:name="_Toc477190596"/>
      <w:bookmarkEnd w:id="734"/>
      <w:bookmarkStart w:id="735" w:name="_Toc477190424"/>
      <w:bookmarkEnd w:id="735"/>
      <w:bookmarkStart w:id="736" w:name="_Toc477190571"/>
      <w:bookmarkEnd w:id="736"/>
      <w:bookmarkStart w:id="737" w:name="_Toc477190581"/>
      <w:bookmarkEnd w:id="737"/>
      <w:bookmarkStart w:id="738" w:name="_Toc477190514"/>
      <w:bookmarkEnd w:id="738"/>
      <w:bookmarkStart w:id="739" w:name="_Toc477190543"/>
      <w:bookmarkEnd w:id="739"/>
      <w:bookmarkStart w:id="740" w:name="_Toc477190574"/>
      <w:bookmarkEnd w:id="740"/>
      <w:bookmarkStart w:id="741" w:name="_Toc477190569"/>
      <w:bookmarkEnd w:id="741"/>
      <w:bookmarkStart w:id="742" w:name="_Toc477190565"/>
      <w:bookmarkEnd w:id="742"/>
      <w:bookmarkStart w:id="743" w:name="_Toc477190368"/>
      <w:bookmarkEnd w:id="743"/>
      <w:bookmarkStart w:id="744" w:name="_Toc477190511"/>
      <w:bookmarkEnd w:id="744"/>
      <w:bookmarkStart w:id="745" w:name="_Toc477190592"/>
      <w:bookmarkEnd w:id="745"/>
      <w:bookmarkStart w:id="746" w:name="_Toc477190515"/>
      <w:bookmarkEnd w:id="746"/>
      <w:bookmarkStart w:id="747" w:name="_Toc477190430"/>
      <w:bookmarkEnd w:id="747"/>
      <w:bookmarkStart w:id="748" w:name="_Toc477190518"/>
      <w:bookmarkEnd w:id="748"/>
      <w:bookmarkStart w:id="749" w:name="_Toc477190583"/>
      <w:bookmarkEnd w:id="749"/>
      <w:bookmarkStart w:id="750" w:name="_Toc477190593"/>
      <w:bookmarkEnd w:id="750"/>
      <w:bookmarkStart w:id="751" w:name="_Toc477190509"/>
      <w:bookmarkEnd w:id="751"/>
      <w:bookmarkStart w:id="752" w:name="_Toc477190427"/>
      <w:bookmarkEnd w:id="752"/>
      <w:bookmarkStart w:id="753" w:name="_Toc477190426"/>
      <w:bookmarkEnd w:id="753"/>
      <w:bookmarkStart w:id="754" w:name="_Toc477190549"/>
      <w:bookmarkEnd w:id="754"/>
      <w:bookmarkStart w:id="755" w:name="_Toc477190567"/>
      <w:bookmarkEnd w:id="755"/>
      <w:bookmarkStart w:id="756" w:name="_Toc477190421"/>
      <w:bookmarkEnd w:id="756"/>
      <w:bookmarkStart w:id="757" w:name="_Toc477190591"/>
      <w:bookmarkEnd w:id="757"/>
      <w:bookmarkStart w:id="758" w:name="_Toc477190446"/>
      <w:bookmarkEnd w:id="758"/>
      <w:bookmarkStart w:id="759" w:name="_Toc477190587"/>
      <w:bookmarkEnd w:id="759"/>
      <w:bookmarkStart w:id="760" w:name="_Toc477190418"/>
      <w:bookmarkEnd w:id="760"/>
      <w:bookmarkStart w:id="761" w:name="_Toc477190642"/>
      <w:bookmarkEnd w:id="761"/>
      <w:bookmarkStart w:id="762" w:name="_Toc477190457"/>
      <w:bookmarkEnd w:id="762"/>
      <w:bookmarkStart w:id="763" w:name="_Toc477190513"/>
      <w:bookmarkEnd w:id="763"/>
      <w:bookmarkStart w:id="764" w:name="_Toc477190459"/>
      <w:bookmarkEnd w:id="764"/>
      <w:bookmarkStart w:id="765" w:name="_Toc477190568"/>
      <w:bookmarkEnd w:id="765"/>
      <w:bookmarkStart w:id="766" w:name="_Toc477190498"/>
      <w:bookmarkEnd w:id="766"/>
      <w:bookmarkStart w:id="767" w:name="_Toc477190447"/>
      <w:bookmarkEnd w:id="767"/>
      <w:bookmarkStart w:id="768" w:name="_Toc477190415"/>
      <w:bookmarkEnd w:id="768"/>
      <w:bookmarkStart w:id="769" w:name="_Toc477190463"/>
      <w:bookmarkEnd w:id="769"/>
      <w:bookmarkStart w:id="770" w:name="_Toc477190584"/>
      <w:bookmarkEnd w:id="770"/>
      <w:bookmarkStart w:id="771" w:name="_Toc477190648"/>
      <w:bookmarkEnd w:id="771"/>
      <w:bookmarkStart w:id="772" w:name="_Toc477190458"/>
      <w:bookmarkEnd w:id="772"/>
      <w:bookmarkStart w:id="773" w:name="_Toc477190482"/>
      <w:bookmarkEnd w:id="773"/>
      <w:bookmarkStart w:id="774" w:name="_Toc477190471"/>
      <w:bookmarkEnd w:id="774"/>
      <w:bookmarkStart w:id="775" w:name="_Toc477190561"/>
      <w:bookmarkEnd w:id="775"/>
      <w:bookmarkStart w:id="776" w:name="_Toc477190537"/>
      <w:bookmarkEnd w:id="776"/>
      <w:bookmarkStart w:id="777" w:name="_Toc477190450"/>
      <w:bookmarkEnd w:id="777"/>
      <w:bookmarkStart w:id="778" w:name="_Toc477190365"/>
      <w:bookmarkEnd w:id="778"/>
      <w:bookmarkStart w:id="779" w:name="_Toc477190595"/>
      <w:bookmarkEnd w:id="779"/>
      <w:bookmarkStart w:id="780" w:name="_Toc477190454"/>
      <w:bookmarkEnd w:id="780"/>
      <w:bookmarkStart w:id="781" w:name="_Toc477190473"/>
      <w:bookmarkEnd w:id="781"/>
      <w:bookmarkStart w:id="782" w:name="_Toc477190564"/>
      <w:bookmarkEnd w:id="782"/>
      <w:bookmarkStart w:id="783" w:name="_Toc477190651"/>
      <w:bookmarkEnd w:id="783"/>
      <w:bookmarkStart w:id="784" w:name="_Toc477190472"/>
      <w:bookmarkEnd w:id="784"/>
      <w:bookmarkStart w:id="785" w:name="_Toc477190579"/>
      <w:bookmarkEnd w:id="785"/>
      <w:bookmarkStart w:id="786" w:name="_Toc477190448"/>
      <w:bookmarkEnd w:id="786"/>
      <w:bookmarkStart w:id="787" w:name="_Toc477190452"/>
      <w:bookmarkEnd w:id="787"/>
      <w:bookmarkStart w:id="788" w:name="_Toc477190436"/>
      <w:bookmarkEnd w:id="788"/>
      <w:bookmarkStart w:id="789" w:name="_Toc477190516"/>
      <w:bookmarkEnd w:id="789"/>
      <w:bookmarkStart w:id="790" w:name="_Toc477190443"/>
      <w:bookmarkEnd w:id="790"/>
      <w:bookmarkStart w:id="791" w:name="_Toc477190585"/>
      <w:bookmarkEnd w:id="791"/>
      <w:bookmarkStart w:id="792" w:name="_Toc477190508"/>
      <w:bookmarkEnd w:id="792"/>
      <w:bookmarkStart w:id="793" w:name="_Toc477190423"/>
      <w:bookmarkEnd w:id="793"/>
      <w:bookmarkStart w:id="794" w:name="_Toc477190578"/>
      <w:bookmarkEnd w:id="794"/>
      <w:bookmarkStart w:id="795" w:name="_Toc477190598"/>
      <w:bookmarkEnd w:id="795"/>
      <w:bookmarkStart w:id="796" w:name="_Toc477190573"/>
      <w:bookmarkEnd w:id="796"/>
      <w:bookmarkStart w:id="797" w:name="_Toc477190442"/>
      <w:bookmarkEnd w:id="797"/>
      <w:bookmarkStart w:id="798" w:name="_Toc477190432"/>
      <w:bookmarkEnd w:id="798"/>
      <w:bookmarkStart w:id="799" w:name="_Toc477190416"/>
      <w:bookmarkEnd w:id="799"/>
      <w:bookmarkStart w:id="800" w:name="_Toc477190469"/>
      <w:bookmarkEnd w:id="800"/>
      <w:bookmarkStart w:id="801" w:name="_Toc477190594"/>
      <w:bookmarkEnd w:id="801"/>
      <w:bookmarkStart w:id="802" w:name="_Toc477190576"/>
      <w:bookmarkEnd w:id="802"/>
      <w:bookmarkStart w:id="803" w:name="_Toc477190632"/>
      <w:bookmarkEnd w:id="803"/>
      <w:bookmarkStart w:id="804" w:name="_Toc477190460"/>
      <w:bookmarkEnd w:id="804"/>
      <w:bookmarkStart w:id="805" w:name="_Toc477190622"/>
      <w:bookmarkEnd w:id="805"/>
      <w:bookmarkStart w:id="806" w:name="_Toc477190467"/>
      <w:bookmarkEnd w:id="806"/>
      <w:bookmarkStart w:id="807" w:name="_Toc477190367"/>
      <w:bookmarkEnd w:id="807"/>
      <w:bookmarkStart w:id="808" w:name="_Toc477190462"/>
      <w:bookmarkEnd w:id="808"/>
      <w:bookmarkStart w:id="809" w:name="_Toc477190429"/>
      <w:bookmarkEnd w:id="809"/>
      <w:bookmarkStart w:id="810" w:name="_Toc477190525"/>
      <w:bookmarkEnd w:id="810"/>
      <w:bookmarkStart w:id="811" w:name="_Toc477190474"/>
      <w:bookmarkEnd w:id="811"/>
      <w:bookmarkStart w:id="812" w:name="_Toc477190572"/>
      <w:bookmarkEnd w:id="812"/>
      <w:bookmarkStart w:id="813" w:name="_Toc477190422"/>
      <w:bookmarkEnd w:id="813"/>
      <w:bookmarkStart w:id="814" w:name="_Toc477190647"/>
      <w:bookmarkEnd w:id="814"/>
      <w:bookmarkStart w:id="815" w:name="_Toc477190562"/>
      <w:bookmarkEnd w:id="815"/>
      <w:bookmarkStart w:id="816" w:name="_Toc477190433"/>
      <w:bookmarkEnd w:id="816"/>
      <w:bookmarkStart w:id="817" w:name="_Toc477190444"/>
      <w:bookmarkEnd w:id="817"/>
      <w:bookmarkStart w:id="818" w:name="_Toc477190600"/>
      <w:bookmarkEnd w:id="818"/>
      <w:bookmarkStart w:id="819" w:name="_Toc477190570"/>
      <w:bookmarkEnd w:id="819"/>
      <w:bookmarkStart w:id="820" w:name="_Toc477190414"/>
      <w:bookmarkEnd w:id="820"/>
      <w:bookmarkStart w:id="821" w:name="_Toc477190441"/>
      <w:bookmarkEnd w:id="821"/>
      <w:bookmarkStart w:id="822" w:name="_Toc477190586"/>
      <w:bookmarkEnd w:id="822"/>
      <w:bookmarkStart w:id="823" w:name="_Toc477190468"/>
      <w:bookmarkEnd w:id="823"/>
      <w:bookmarkStart w:id="824" w:name="_Toc477190517"/>
      <w:bookmarkEnd w:id="824"/>
      <w:bookmarkStart w:id="825" w:name="_Toc477190555"/>
      <w:bookmarkEnd w:id="825"/>
      <w:bookmarkStart w:id="826" w:name="_Toc477190589"/>
      <w:bookmarkEnd w:id="826"/>
      <w:bookmarkStart w:id="827" w:name="_Toc477190420"/>
      <w:bookmarkEnd w:id="827"/>
      <w:bookmarkStart w:id="828" w:name="_Toc477190455"/>
      <w:bookmarkEnd w:id="828"/>
      <w:bookmarkStart w:id="829" w:name="_Toc477190464"/>
      <w:bookmarkEnd w:id="829"/>
      <w:bookmarkStart w:id="830" w:name="_Toc477190470"/>
      <w:bookmarkEnd w:id="830"/>
      <w:bookmarkStart w:id="831" w:name="_Toc477190653"/>
      <w:bookmarkEnd w:id="831"/>
      <w:bookmarkStart w:id="832" w:name="_Toc477190510"/>
      <w:bookmarkEnd w:id="832"/>
      <w:bookmarkStart w:id="833" w:name="_Toc477190580"/>
      <w:bookmarkEnd w:id="833"/>
      <w:bookmarkStart w:id="834" w:name="_Toc477190440"/>
      <w:bookmarkEnd w:id="834"/>
      <w:bookmarkStart w:id="835" w:name="_Toc477190439"/>
      <w:bookmarkEnd w:id="835"/>
      <w:bookmarkStart w:id="836" w:name="_Toc477190588"/>
      <w:bookmarkEnd w:id="836"/>
      <w:bookmarkStart w:id="837" w:name="_Toc477190582"/>
      <w:bookmarkEnd w:id="837"/>
      <w:bookmarkStart w:id="838" w:name="_Toc477190601"/>
      <w:bookmarkEnd w:id="838"/>
      <w:bookmarkStart w:id="839" w:name="_Toc477190504"/>
      <w:bookmarkEnd w:id="839"/>
      <w:bookmarkStart w:id="840" w:name="_Toc477190575"/>
      <w:bookmarkEnd w:id="840"/>
      <w:bookmarkStart w:id="841" w:name="_Toc477190419"/>
      <w:bookmarkEnd w:id="841"/>
      <w:bookmarkStart w:id="842" w:name="_Toc477190650"/>
      <w:bookmarkEnd w:id="842"/>
      <w:bookmarkStart w:id="843" w:name="_Toc477190645"/>
      <w:bookmarkEnd w:id="843"/>
      <w:bookmarkStart w:id="844" w:name="_Toc477190437"/>
      <w:bookmarkEnd w:id="844"/>
      <w:bookmarkStart w:id="845" w:name="_Toc477190451"/>
      <w:bookmarkEnd w:id="845"/>
      <w:bookmarkStart w:id="846" w:name="_Toc477190428"/>
      <w:bookmarkEnd w:id="846"/>
      <w:bookmarkStart w:id="847" w:name="_Toc477190461"/>
      <w:bookmarkEnd w:id="847"/>
      <w:bookmarkStart w:id="848" w:name="_Toc477190453"/>
      <w:bookmarkEnd w:id="848"/>
      <w:bookmarkStart w:id="849" w:name="_Toc477190654"/>
      <w:bookmarkEnd w:id="849"/>
      <w:bookmarkStart w:id="850" w:name="_Toc477190435"/>
      <w:bookmarkEnd w:id="850"/>
      <w:bookmarkStart w:id="851" w:name="_Toc477190599"/>
      <w:bookmarkEnd w:id="851"/>
      <w:bookmarkStart w:id="852" w:name="_Toc477190563"/>
      <w:bookmarkEnd w:id="852"/>
      <w:bookmarkStart w:id="853" w:name="_Toc477190466"/>
      <w:bookmarkEnd w:id="853"/>
      <w:bookmarkStart w:id="854" w:name="_Toc477190438"/>
      <w:bookmarkEnd w:id="854"/>
      <w:bookmarkStart w:id="855" w:name="_Toc477190612"/>
      <w:bookmarkEnd w:id="855"/>
      <w:bookmarkStart w:id="856" w:name="_Toc477190465"/>
      <w:bookmarkEnd w:id="856"/>
      <w:bookmarkStart w:id="857" w:name="_Toc477190597"/>
      <w:bookmarkEnd w:id="857"/>
      <w:bookmarkStart w:id="858" w:name="_Toc477190366"/>
      <w:bookmarkEnd w:id="858"/>
      <w:bookmarkStart w:id="859" w:name="_Toc477190417"/>
      <w:bookmarkEnd w:id="859"/>
      <w:bookmarkStart w:id="860" w:name="_Toc475472688"/>
      <w:r>
        <w:rPr>
          <w:rFonts w:hint="eastAsia" w:ascii="宋体" w:hAnsi="宋体"/>
          <w:b/>
          <w:sz w:val="24"/>
        </w:rPr>
        <w:t>商务规范书偏离表</w:t>
      </w:r>
    </w:p>
    <w:p>
      <w:pPr>
        <w:jc w:val="center"/>
        <w:rPr>
          <w:rFonts w:ascii="宋体" w:hAnsi="宋体" w:cs="宋体"/>
          <w:sz w:val="24"/>
        </w:rPr>
      </w:pPr>
    </w:p>
    <w:p>
      <w:pPr>
        <w:adjustRightInd w:val="0"/>
        <w:snapToGrid w:val="0"/>
        <w:spacing w:after="120" w:line="440" w:lineRule="exact"/>
        <w:rPr>
          <w:rFonts w:ascii="宋体" w:hAnsi="宋体" w:cs="宋体"/>
          <w:szCs w:val="21"/>
        </w:rPr>
      </w:pPr>
      <w:r>
        <w:rPr>
          <w:rFonts w:hint="eastAsia" w:ascii="宋体" w:hAnsi="宋体" w:cs="宋体"/>
          <w:szCs w:val="21"/>
        </w:rPr>
        <w:t>项目</w:t>
      </w:r>
      <w:r>
        <w:rPr>
          <w:rFonts w:ascii="宋体" w:hAnsi="宋体" w:cs="宋体"/>
          <w:szCs w:val="21"/>
        </w:rPr>
        <w:t>名称：招标编号：</w:t>
      </w:r>
      <w:r>
        <w:rPr>
          <w:rFonts w:hint="eastAsia" w:ascii="宋体" w:hAnsi="宋体" w:cs="宋体"/>
          <w:szCs w:val="21"/>
        </w:rPr>
        <w:t>分包</w:t>
      </w:r>
      <w:r>
        <w:rPr>
          <w:rFonts w:ascii="宋体" w:hAnsi="宋体" w:cs="宋体"/>
          <w:szCs w:val="21"/>
        </w:rPr>
        <w:t>：</w:t>
      </w:r>
    </w:p>
    <w:tbl>
      <w:tblPr>
        <w:tblStyle w:val="39"/>
        <w:tblW w:w="8438" w:type="dxa"/>
        <w:tblInd w:w="42"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85"/>
        <w:gridCol w:w="1746"/>
        <w:gridCol w:w="2208"/>
        <w:gridCol w:w="2435"/>
        <w:gridCol w:w="13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13" w:hRule="atLeast"/>
        </w:trPr>
        <w:tc>
          <w:tcPr>
            <w:tcW w:w="685" w:type="dxa"/>
            <w:vAlign w:val="center"/>
          </w:tcPr>
          <w:p>
            <w:pPr>
              <w:adjustRightInd w:val="0"/>
              <w:snapToGrid w:val="0"/>
              <w:spacing w:line="440" w:lineRule="exact"/>
              <w:jc w:val="center"/>
              <w:rPr>
                <w:rFonts w:ascii="宋体" w:hAnsi="宋体" w:cs="宋体"/>
                <w:szCs w:val="21"/>
              </w:rPr>
            </w:pPr>
            <w:r>
              <w:rPr>
                <w:rFonts w:ascii="宋体" w:hAnsi="宋体" w:cs="宋体"/>
                <w:szCs w:val="21"/>
              </w:rPr>
              <w:t>序号</w:t>
            </w:r>
          </w:p>
        </w:tc>
        <w:tc>
          <w:tcPr>
            <w:tcW w:w="1746" w:type="dxa"/>
            <w:vAlign w:val="center"/>
          </w:tcPr>
          <w:p>
            <w:pPr>
              <w:adjustRightInd w:val="0"/>
              <w:snapToGrid w:val="0"/>
              <w:spacing w:line="440" w:lineRule="exact"/>
              <w:jc w:val="center"/>
              <w:rPr>
                <w:rFonts w:ascii="宋体" w:hAnsi="宋体" w:cs="宋体"/>
                <w:szCs w:val="21"/>
              </w:rPr>
            </w:pPr>
            <w:r>
              <w:rPr>
                <w:rFonts w:ascii="宋体" w:hAnsi="宋体" w:cs="宋体"/>
                <w:szCs w:val="21"/>
              </w:rPr>
              <w:t>竞争性磋商文件条目号</w:t>
            </w:r>
          </w:p>
        </w:tc>
        <w:tc>
          <w:tcPr>
            <w:tcW w:w="2208" w:type="dxa"/>
            <w:vAlign w:val="center"/>
          </w:tcPr>
          <w:p>
            <w:pPr>
              <w:adjustRightInd w:val="0"/>
              <w:snapToGrid w:val="0"/>
              <w:spacing w:line="440" w:lineRule="exact"/>
              <w:jc w:val="center"/>
              <w:rPr>
                <w:rFonts w:ascii="宋体" w:hAnsi="宋体" w:cs="宋体"/>
                <w:szCs w:val="21"/>
              </w:rPr>
            </w:pPr>
            <w:r>
              <w:rPr>
                <w:rFonts w:ascii="宋体" w:hAnsi="宋体" w:cs="宋体"/>
                <w:szCs w:val="21"/>
              </w:rPr>
              <w:t>竞争性磋商文件的</w:t>
            </w:r>
            <w:r>
              <w:rPr>
                <w:rFonts w:hint="eastAsia" w:ascii="宋体" w:hAnsi="宋体" w:cs="宋体"/>
                <w:szCs w:val="21"/>
              </w:rPr>
              <w:t>合同</w:t>
            </w:r>
            <w:r>
              <w:rPr>
                <w:rFonts w:ascii="宋体" w:hAnsi="宋体" w:cs="宋体"/>
                <w:szCs w:val="21"/>
              </w:rPr>
              <w:t>条款</w:t>
            </w:r>
          </w:p>
        </w:tc>
        <w:tc>
          <w:tcPr>
            <w:tcW w:w="2435" w:type="dxa"/>
            <w:vAlign w:val="center"/>
          </w:tcPr>
          <w:p>
            <w:pPr>
              <w:adjustRightInd w:val="0"/>
              <w:snapToGrid w:val="0"/>
              <w:spacing w:line="440" w:lineRule="exact"/>
              <w:jc w:val="center"/>
              <w:rPr>
                <w:rFonts w:ascii="宋体" w:hAnsi="宋体" w:cs="宋体"/>
                <w:szCs w:val="21"/>
              </w:rPr>
            </w:pPr>
            <w:r>
              <w:rPr>
                <w:rFonts w:hint="eastAsia" w:ascii="宋体" w:hAnsi="宋体" w:cs="宋体"/>
                <w:szCs w:val="21"/>
              </w:rPr>
              <w:t>投标文件</w:t>
            </w:r>
            <w:r>
              <w:rPr>
                <w:rFonts w:ascii="宋体" w:hAnsi="宋体" w:cs="宋体"/>
                <w:szCs w:val="21"/>
              </w:rPr>
              <w:t>偏离情况</w:t>
            </w:r>
          </w:p>
        </w:tc>
        <w:tc>
          <w:tcPr>
            <w:tcW w:w="1364" w:type="dxa"/>
            <w:vAlign w:val="center"/>
          </w:tcPr>
          <w:p>
            <w:pPr>
              <w:adjustRightInd w:val="0"/>
              <w:snapToGrid w:val="0"/>
              <w:spacing w:line="440" w:lineRule="exact"/>
              <w:jc w:val="center"/>
              <w:rPr>
                <w:rFonts w:ascii="宋体" w:hAnsi="宋体" w:cs="宋体"/>
                <w:szCs w:val="21"/>
              </w:rPr>
            </w:pPr>
            <w:r>
              <w:rPr>
                <w:rFonts w:ascii="宋体" w:hAnsi="宋体" w:cs="宋体"/>
                <w:szCs w:val="21"/>
              </w:rPr>
              <w:t>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83" w:hRule="atLeast"/>
        </w:trPr>
        <w:tc>
          <w:tcPr>
            <w:tcW w:w="685" w:type="dxa"/>
            <w:vAlign w:val="center"/>
          </w:tcPr>
          <w:p>
            <w:pPr>
              <w:adjustRightInd w:val="0"/>
              <w:snapToGrid w:val="0"/>
              <w:spacing w:line="440" w:lineRule="exact"/>
              <w:rPr>
                <w:rFonts w:ascii="宋体" w:hAnsi="宋体" w:cs="宋体"/>
                <w:szCs w:val="21"/>
              </w:rPr>
            </w:pPr>
          </w:p>
        </w:tc>
        <w:tc>
          <w:tcPr>
            <w:tcW w:w="1746" w:type="dxa"/>
            <w:vAlign w:val="center"/>
          </w:tcPr>
          <w:p>
            <w:pPr>
              <w:adjustRightInd w:val="0"/>
              <w:snapToGrid w:val="0"/>
              <w:spacing w:line="440" w:lineRule="exact"/>
              <w:rPr>
                <w:rFonts w:ascii="宋体" w:hAnsi="宋体" w:cs="宋体"/>
                <w:szCs w:val="21"/>
              </w:rPr>
            </w:pPr>
          </w:p>
        </w:tc>
        <w:tc>
          <w:tcPr>
            <w:tcW w:w="2208" w:type="dxa"/>
            <w:vAlign w:val="center"/>
          </w:tcPr>
          <w:p>
            <w:pPr>
              <w:adjustRightInd w:val="0"/>
              <w:snapToGrid w:val="0"/>
              <w:spacing w:line="440" w:lineRule="exact"/>
              <w:rPr>
                <w:rFonts w:ascii="宋体" w:hAnsi="宋体" w:cs="宋体"/>
                <w:szCs w:val="21"/>
              </w:rPr>
            </w:pPr>
          </w:p>
        </w:tc>
        <w:tc>
          <w:tcPr>
            <w:tcW w:w="2435" w:type="dxa"/>
            <w:vAlign w:val="center"/>
          </w:tcPr>
          <w:p>
            <w:pPr>
              <w:adjustRightInd w:val="0"/>
              <w:snapToGrid w:val="0"/>
              <w:spacing w:line="440" w:lineRule="exact"/>
              <w:rPr>
                <w:rFonts w:ascii="宋体" w:hAnsi="宋体" w:cs="宋体"/>
                <w:szCs w:val="21"/>
              </w:rPr>
            </w:pPr>
          </w:p>
        </w:tc>
        <w:tc>
          <w:tcPr>
            <w:tcW w:w="1364" w:type="dxa"/>
            <w:vAlign w:val="center"/>
          </w:tcPr>
          <w:p>
            <w:pPr>
              <w:adjustRightInd w:val="0"/>
              <w:snapToGrid w:val="0"/>
              <w:spacing w:line="440" w:lineRule="exact"/>
              <w:rPr>
                <w:rFonts w:ascii="宋体" w:hAnsi="宋体" w:cs="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83" w:hRule="atLeast"/>
        </w:trPr>
        <w:tc>
          <w:tcPr>
            <w:tcW w:w="685" w:type="dxa"/>
            <w:vAlign w:val="center"/>
          </w:tcPr>
          <w:p>
            <w:pPr>
              <w:adjustRightInd w:val="0"/>
              <w:snapToGrid w:val="0"/>
              <w:spacing w:line="440" w:lineRule="exact"/>
              <w:rPr>
                <w:rFonts w:ascii="宋体" w:hAnsi="宋体" w:cs="宋体"/>
                <w:szCs w:val="21"/>
              </w:rPr>
            </w:pPr>
          </w:p>
        </w:tc>
        <w:tc>
          <w:tcPr>
            <w:tcW w:w="1746" w:type="dxa"/>
            <w:vAlign w:val="center"/>
          </w:tcPr>
          <w:p>
            <w:pPr>
              <w:adjustRightInd w:val="0"/>
              <w:snapToGrid w:val="0"/>
              <w:spacing w:line="440" w:lineRule="exact"/>
              <w:rPr>
                <w:rFonts w:ascii="宋体" w:hAnsi="宋体" w:cs="宋体"/>
                <w:szCs w:val="21"/>
              </w:rPr>
            </w:pPr>
          </w:p>
        </w:tc>
        <w:tc>
          <w:tcPr>
            <w:tcW w:w="2208" w:type="dxa"/>
            <w:vAlign w:val="center"/>
          </w:tcPr>
          <w:p>
            <w:pPr>
              <w:adjustRightInd w:val="0"/>
              <w:snapToGrid w:val="0"/>
              <w:spacing w:line="440" w:lineRule="exact"/>
              <w:rPr>
                <w:rFonts w:ascii="宋体" w:hAnsi="宋体" w:cs="宋体"/>
                <w:szCs w:val="21"/>
              </w:rPr>
            </w:pPr>
          </w:p>
        </w:tc>
        <w:tc>
          <w:tcPr>
            <w:tcW w:w="2435" w:type="dxa"/>
            <w:vAlign w:val="center"/>
          </w:tcPr>
          <w:p>
            <w:pPr>
              <w:adjustRightInd w:val="0"/>
              <w:snapToGrid w:val="0"/>
              <w:spacing w:line="440" w:lineRule="exact"/>
              <w:rPr>
                <w:rFonts w:ascii="宋体" w:hAnsi="宋体" w:cs="宋体"/>
                <w:szCs w:val="21"/>
              </w:rPr>
            </w:pPr>
          </w:p>
        </w:tc>
        <w:tc>
          <w:tcPr>
            <w:tcW w:w="1364" w:type="dxa"/>
            <w:vAlign w:val="center"/>
          </w:tcPr>
          <w:p>
            <w:pPr>
              <w:adjustRightInd w:val="0"/>
              <w:snapToGrid w:val="0"/>
              <w:spacing w:line="440" w:lineRule="exact"/>
              <w:rPr>
                <w:rFonts w:ascii="宋体" w:hAnsi="宋体" w:cs="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83" w:hRule="atLeast"/>
        </w:trPr>
        <w:tc>
          <w:tcPr>
            <w:tcW w:w="685" w:type="dxa"/>
            <w:vAlign w:val="center"/>
          </w:tcPr>
          <w:p>
            <w:pPr>
              <w:adjustRightInd w:val="0"/>
              <w:snapToGrid w:val="0"/>
              <w:spacing w:line="440" w:lineRule="exact"/>
              <w:rPr>
                <w:rFonts w:ascii="宋体" w:hAnsi="宋体" w:cs="宋体"/>
                <w:szCs w:val="21"/>
              </w:rPr>
            </w:pPr>
          </w:p>
        </w:tc>
        <w:tc>
          <w:tcPr>
            <w:tcW w:w="1746" w:type="dxa"/>
            <w:vAlign w:val="center"/>
          </w:tcPr>
          <w:p>
            <w:pPr>
              <w:adjustRightInd w:val="0"/>
              <w:snapToGrid w:val="0"/>
              <w:spacing w:line="440" w:lineRule="exact"/>
              <w:rPr>
                <w:rFonts w:ascii="宋体" w:hAnsi="宋体" w:cs="宋体"/>
                <w:szCs w:val="21"/>
              </w:rPr>
            </w:pPr>
          </w:p>
        </w:tc>
        <w:tc>
          <w:tcPr>
            <w:tcW w:w="2208" w:type="dxa"/>
            <w:vAlign w:val="center"/>
          </w:tcPr>
          <w:p>
            <w:pPr>
              <w:adjustRightInd w:val="0"/>
              <w:snapToGrid w:val="0"/>
              <w:spacing w:line="440" w:lineRule="exact"/>
              <w:rPr>
                <w:rFonts w:ascii="宋体" w:hAnsi="宋体" w:cs="宋体"/>
                <w:szCs w:val="21"/>
              </w:rPr>
            </w:pPr>
          </w:p>
        </w:tc>
        <w:tc>
          <w:tcPr>
            <w:tcW w:w="2435" w:type="dxa"/>
            <w:vAlign w:val="center"/>
          </w:tcPr>
          <w:p>
            <w:pPr>
              <w:adjustRightInd w:val="0"/>
              <w:snapToGrid w:val="0"/>
              <w:spacing w:line="440" w:lineRule="exact"/>
              <w:rPr>
                <w:rFonts w:ascii="宋体" w:hAnsi="宋体" w:cs="宋体"/>
                <w:szCs w:val="21"/>
              </w:rPr>
            </w:pPr>
          </w:p>
        </w:tc>
        <w:tc>
          <w:tcPr>
            <w:tcW w:w="1364" w:type="dxa"/>
            <w:vAlign w:val="center"/>
          </w:tcPr>
          <w:p>
            <w:pPr>
              <w:adjustRightInd w:val="0"/>
              <w:snapToGrid w:val="0"/>
              <w:spacing w:line="440" w:lineRule="exact"/>
              <w:rPr>
                <w:rFonts w:ascii="宋体" w:hAnsi="宋体" w:cs="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906" w:hRule="atLeast"/>
        </w:trPr>
        <w:tc>
          <w:tcPr>
            <w:tcW w:w="685" w:type="dxa"/>
            <w:vAlign w:val="center"/>
          </w:tcPr>
          <w:p>
            <w:pPr>
              <w:adjustRightInd w:val="0"/>
              <w:snapToGrid w:val="0"/>
              <w:spacing w:line="440" w:lineRule="exact"/>
              <w:rPr>
                <w:rFonts w:ascii="宋体" w:hAnsi="宋体" w:cs="宋体"/>
                <w:szCs w:val="21"/>
              </w:rPr>
            </w:pPr>
          </w:p>
        </w:tc>
        <w:tc>
          <w:tcPr>
            <w:tcW w:w="1746" w:type="dxa"/>
            <w:vAlign w:val="center"/>
          </w:tcPr>
          <w:p>
            <w:pPr>
              <w:adjustRightInd w:val="0"/>
              <w:snapToGrid w:val="0"/>
              <w:spacing w:line="440" w:lineRule="exact"/>
              <w:rPr>
                <w:rFonts w:ascii="宋体" w:hAnsi="宋体" w:cs="宋体"/>
                <w:szCs w:val="21"/>
              </w:rPr>
            </w:pPr>
          </w:p>
        </w:tc>
        <w:tc>
          <w:tcPr>
            <w:tcW w:w="2208" w:type="dxa"/>
            <w:vAlign w:val="center"/>
          </w:tcPr>
          <w:p>
            <w:pPr>
              <w:adjustRightInd w:val="0"/>
              <w:snapToGrid w:val="0"/>
              <w:spacing w:line="440" w:lineRule="exact"/>
              <w:rPr>
                <w:rFonts w:ascii="宋体" w:hAnsi="宋体" w:cs="宋体"/>
                <w:szCs w:val="21"/>
              </w:rPr>
            </w:pPr>
          </w:p>
        </w:tc>
        <w:tc>
          <w:tcPr>
            <w:tcW w:w="2435" w:type="dxa"/>
            <w:vAlign w:val="center"/>
          </w:tcPr>
          <w:p>
            <w:pPr>
              <w:adjustRightInd w:val="0"/>
              <w:snapToGrid w:val="0"/>
              <w:spacing w:line="440" w:lineRule="exact"/>
              <w:rPr>
                <w:rFonts w:ascii="宋体" w:hAnsi="宋体" w:cs="宋体"/>
                <w:szCs w:val="21"/>
              </w:rPr>
            </w:pPr>
          </w:p>
        </w:tc>
        <w:tc>
          <w:tcPr>
            <w:tcW w:w="1364" w:type="dxa"/>
            <w:vAlign w:val="center"/>
          </w:tcPr>
          <w:p>
            <w:pPr>
              <w:adjustRightInd w:val="0"/>
              <w:snapToGrid w:val="0"/>
              <w:spacing w:line="440" w:lineRule="exact"/>
              <w:rPr>
                <w:rFonts w:ascii="宋体" w:hAnsi="宋体" w:cs="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83" w:hRule="atLeast"/>
        </w:trPr>
        <w:tc>
          <w:tcPr>
            <w:tcW w:w="685" w:type="dxa"/>
            <w:vAlign w:val="center"/>
          </w:tcPr>
          <w:p>
            <w:pPr>
              <w:adjustRightInd w:val="0"/>
              <w:snapToGrid w:val="0"/>
              <w:spacing w:line="440" w:lineRule="exact"/>
              <w:rPr>
                <w:rFonts w:ascii="宋体" w:hAnsi="宋体" w:cs="宋体"/>
                <w:szCs w:val="21"/>
              </w:rPr>
            </w:pPr>
          </w:p>
        </w:tc>
        <w:tc>
          <w:tcPr>
            <w:tcW w:w="1746" w:type="dxa"/>
            <w:vAlign w:val="center"/>
          </w:tcPr>
          <w:p>
            <w:pPr>
              <w:adjustRightInd w:val="0"/>
              <w:snapToGrid w:val="0"/>
              <w:spacing w:line="440" w:lineRule="exact"/>
              <w:rPr>
                <w:rFonts w:ascii="宋体" w:hAnsi="宋体" w:cs="宋体"/>
                <w:szCs w:val="21"/>
              </w:rPr>
            </w:pPr>
          </w:p>
        </w:tc>
        <w:tc>
          <w:tcPr>
            <w:tcW w:w="2208" w:type="dxa"/>
            <w:vAlign w:val="center"/>
          </w:tcPr>
          <w:p>
            <w:pPr>
              <w:adjustRightInd w:val="0"/>
              <w:snapToGrid w:val="0"/>
              <w:spacing w:line="440" w:lineRule="exact"/>
              <w:rPr>
                <w:rFonts w:ascii="宋体" w:hAnsi="宋体" w:cs="宋体"/>
                <w:szCs w:val="21"/>
              </w:rPr>
            </w:pPr>
          </w:p>
        </w:tc>
        <w:tc>
          <w:tcPr>
            <w:tcW w:w="2435" w:type="dxa"/>
            <w:vAlign w:val="center"/>
          </w:tcPr>
          <w:p>
            <w:pPr>
              <w:adjustRightInd w:val="0"/>
              <w:snapToGrid w:val="0"/>
              <w:spacing w:line="440" w:lineRule="exact"/>
              <w:rPr>
                <w:rFonts w:ascii="宋体" w:hAnsi="宋体" w:cs="宋体"/>
                <w:szCs w:val="21"/>
              </w:rPr>
            </w:pPr>
          </w:p>
        </w:tc>
        <w:tc>
          <w:tcPr>
            <w:tcW w:w="1364" w:type="dxa"/>
            <w:vAlign w:val="center"/>
          </w:tcPr>
          <w:p>
            <w:pPr>
              <w:adjustRightInd w:val="0"/>
              <w:snapToGrid w:val="0"/>
              <w:spacing w:line="440" w:lineRule="exact"/>
              <w:rPr>
                <w:rFonts w:ascii="宋体" w:hAnsi="宋体" w:cs="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83" w:hRule="atLeast"/>
        </w:trPr>
        <w:tc>
          <w:tcPr>
            <w:tcW w:w="685" w:type="dxa"/>
            <w:vAlign w:val="center"/>
          </w:tcPr>
          <w:p>
            <w:pPr>
              <w:adjustRightInd w:val="0"/>
              <w:snapToGrid w:val="0"/>
              <w:spacing w:line="440" w:lineRule="exact"/>
              <w:rPr>
                <w:rFonts w:ascii="宋体" w:hAnsi="宋体" w:cs="宋体"/>
                <w:szCs w:val="21"/>
              </w:rPr>
            </w:pPr>
          </w:p>
        </w:tc>
        <w:tc>
          <w:tcPr>
            <w:tcW w:w="1746" w:type="dxa"/>
            <w:vAlign w:val="center"/>
          </w:tcPr>
          <w:p>
            <w:pPr>
              <w:adjustRightInd w:val="0"/>
              <w:snapToGrid w:val="0"/>
              <w:spacing w:line="440" w:lineRule="exact"/>
              <w:rPr>
                <w:rFonts w:ascii="宋体" w:hAnsi="宋体" w:cs="宋体"/>
                <w:szCs w:val="21"/>
              </w:rPr>
            </w:pPr>
          </w:p>
        </w:tc>
        <w:tc>
          <w:tcPr>
            <w:tcW w:w="2208" w:type="dxa"/>
            <w:vAlign w:val="center"/>
          </w:tcPr>
          <w:p>
            <w:pPr>
              <w:adjustRightInd w:val="0"/>
              <w:snapToGrid w:val="0"/>
              <w:spacing w:line="440" w:lineRule="exact"/>
              <w:rPr>
                <w:rFonts w:ascii="宋体" w:hAnsi="宋体" w:cs="宋体"/>
                <w:szCs w:val="21"/>
              </w:rPr>
            </w:pPr>
          </w:p>
        </w:tc>
        <w:tc>
          <w:tcPr>
            <w:tcW w:w="2435" w:type="dxa"/>
            <w:vAlign w:val="center"/>
          </w:tcPr>
          <w:p>
            <w:pPr>
              <w:adjustRightInd w:val="0"/>
              <w:snapToGrid w:val="0"/>
              <w:spacing w:line="440" w:lineRule="exact"/>
              <w:rPr>
                <w:rFonts w:ascii="宋体" w:hAnsi="宋体" w:cs="宋体"/>
                <w:szCs w:val="21"/>
              </w:rPr>
            </w:pPr>
          </w:p>
        </w:tc>
        <w:tc>
          <w:tcPr>
            <w:tcW w:w="1364" w:type="dxa"/>
            <w:vAlign w:val="center"/>
          </w:tcPr>
          <w:p>
            <w:pPr>
              <w:adjustRightInd w:val="0"/>
              <w:snapToGrid w:val="0"/>
              <w:spacing w:line="440" w:lineRule="exact"/>
              <w:rPr>
                <w:rFonts w:ascii="宋体" w:hAnsi="宋体" w:cs="宋体"/>
                <w:szCs w:val="21"/>
              </w:rPr>
            </w:pPr>
          </w:p>
        </w:tc>
      </w:tr>
    </w:tbl>
    <w:p>
      <w:pPr>
        <w:tabs>
          <w:tab w:val="left" w:pos="318"/>
        </w:tabs>
        <w:spacing w:line="400" w:lineRule="exact"/>
        <w:ind w:left="525" w:hanging="525" w:hangingChars="250"/>
        <w:rPr>
          <w:rFonts w:ascii="宋体" w:hAnsi="宋体"/>
          <w:szCs w:val="21"/>
        </w:rPr>
      </w:pPr>
      <w:r>
        <w:rPr>
          <w:rFonts w:hint="eastAsia" w:ascii="宋体" w:hAnsi="宋体"/>
          <w:szCs w:val="21"/>
        </w:rPr>
        <w:t>注：</w:t>
      </w:r>
    </w:p>
    <w:p>
      <w:pPr>
        <w:tabs>
          <w:tab w:val="left" w:pos="318"/>
        </w:tabs>
        <w:spacing w:line="276" w:lineRule="auto"/>
        <w:ind w:left="525" w:hanging="525" w:hangingChars="250"/>
        <w:rPr>
          <w:rFonts w:ascii="宋体" w:hAnsi="宋体"/>
          <w:b/>
          <w:szCs w:val="21"/>
        </w:rPr>
      </w:pPr>
      <w:r>
        <w:rPr>
          <w:rFonts w:hint="eastAsia" w:ascii="宋体" w:hAnsi="宋体"/>
          <w:szCs w:val="21"/>
        </w:rPr>
        <w:t>（1）</w:t>
      </w:r>
      <w:r>
        <w:rPr>
          <w:rFonts w:hint="eastAsia" w:ascii="宋体" w:hAnsi="宋体" w:cs="宋体"/>
          <w:bCs/>
          <w:szCs w:val="21"/>
        </w:rPr>
        <w:t>投标</w:t>
      </w:r>
      <w:r>
        <w:rPr>
          <w:rFonts w:hint="eastAsia" w:ascii="宋体" w:hAnsi="宋体"/>
          <w:szCs w:val="21"/>
        </w:rPr>
        <w:t>人应</w:t>
      </w:r>
      <w:r>
        <w:rPr>
          <w:rFonts w:ascii="宋体" w:hAnsi="宋体"/>
          <w:szCs w:val="21"/>
        </w:rPr>
        <w:t>对</w:t>
      </w:r>
      <w:r>
        <w:rPr>
          <w:rFonts w:hint="eastAsia" w:ascii="宋体" w:hAnsi="宋体"/>
          <w:szCs w:val="21"/>
        </w:rPr>
        <w:t>竞争性磋商文件</w:t>
      </w:r>
      <w:r>
        <w:rPr>
          <w:rFonts w:ascii="宋体" w:hAnsi="宋体"/>
          <w:szCs w:val="21"/>
        </w:rPr>
        <w:t>中的</w:t>
      </w:r>
      <w:r>
        <w:rPr>
          <w:rFonts w:hint="eastAsia" w:ascii="宋体" w:hAnsi="宋体"/>
          <w:b/>
          <w:bCs/>
          <w:szCs w:val="21"/>
        </w:rPr>
        <w:t>“第四章 商务规范书”</w:t>
      </w:r>
      <w:r>
        <w:rPr>
          <w:rFonts w:ascii="宋体" w:hAnsi="宋体"/>
          <w:szCs w:val="21"/>
        </w:rPr>
        <w:t>进行</w:t>
      </w:r>
      <w:r>
        <w:rPr>
          <w:rFonts w:hint="eastAsia" w:ascii="宋体" w:hAnsi="宋体"/>
          <w:szCs w:val="21"/>
        </w:rPr>
        <w:t>偏离说明，填写</w:t>
      </w:r>
      <w:r>
        <w:rPr>
          <w:rFonts w:hint="eastAsia" w:ascii="宋体" w:hAnsi="宋体"/>
          <w:b/>
          <w:bCs/>
          <w:szCs w:val="21"/>
        </w:rPr>
        <w:t>商务规范书</w:t>
      </w:r>
      <w:r>
        <w:rPr>
          <w:rFonts w:ascii="宋体" w:hAnsi="宋体"/>
          <w:b/>
          <w:szCs w:val="21"/>
        </w:rPr>
        <w:t>偏离表</w:t>
      </w:r>
      <w:r>
        <w:rPr>
          <w:rFonts w:hint="eastAsia" w:ascii="宋体" w:hAnsi="宋体"/>
          <w:b/>
          <w:szCs w:val="21"/>
        </w:rPr>
        <w:t>。</w:t>
      </w:r>
    </w:p>
    <w:p>
      <w:pPr>
        <w:spacing w:line="276" w:lineRule="auto"/>
        <w:ind w:left="525" w:hanging="525" w:hangingChars="250"/>
        <w:rPr>
          <w:rFonts w:ascii="宋体" w:hAnsi="宋体"/>
          <w:szCs w:val="21"/>
        </w:rPr>
      </w:pPr>
      <w:r>
        <w:rPr>
          <w:rFonts w:hint="eastAsia" w:ascii="宋体" w:hAnsi="宋体"/>
          <w:szCs w:val="21"/>
        </w:rPr>
        <w:t>（2）</w:t>
      </w:r>
      <w:r>
        <w:rPr>
          <w:rFonts w:ascii="宋体" w:hAnsi="宋体"/>
          <w:szCs w:val="21"/>
        </w:rPr>
        <w:t>偏离包括正、负偏离，正偏离指</w:t>
      </w:r>
      <w:r>
        <w:rPr>
          <w:rFonts w:hint="eastAsia" w:ascii="宋体" w:hAnsi="宋体" w:cs="宋体"/>
          <w:bCs/>
          <w:szCs w:val="21"/>
        </w:rPr>
        <w:t>投标</w:t>
      </w:r>
      <w:r>
        <w:rPr>
          <w:rFonts w:ascii="宋体" w:hAnsi="宋体"/>
          <w:szCs w:val="21"/>
        </w:rPr>
        <w:t>人的响应高于</w:t>
      </w:r>
      <w:r>
        <w:rPr>
          <w:rFonts w:hint="eastAsia" w:ascii="宋体" w:hAnsi="宋体"/>
          <w:szCs w:val="21"/>
        </w:rPr>
        <w:t>竞争性磋商文件</w:t>
      </w:r>
      <w:r>
        <w:rPr>
          <w:rFonts w:ascii="宋体" w:hAnsi="宋体"/>
          <w:szCs w:val="21"/>
        </w:rPr>
        <w:t>要求，负偏离</w:t>
      </w:r>
      <w:r>
        <w:rPr>
          <w:rFonts w:hint="eastAsia" w:ascii="宋体" w:hAnsi="宋体"/>
          <w:szCs w:val="21"/>
        </w:rPr>
        <w:t>指</w:t>
      </w:r>
      <w:r>
        <w:rPr>
          <w:rFonts w:ascii="宋体" w:hAnsi="宋体"/>
          <w:szCs w:val="21"/>
        </w:rPr>
        <w:t>投标人的响应低于</w:t>
      </w:r>
      <w:r>
        <w:rPr>
          <w:rFonts w:hint="eastAsia" w:ascii="宋体" w:hAnsi="宋体"/>
          <w:szCs w:val="21"/>
        </w:rPr>
        <w:t>竞争性磋商文件</w:t>
      </w:r>
      <w:r>
        <w:rPr>
          <w:rFonts w:ascii="宋体" w:hAnsi="宋体"/>
          <w:szCs w:val="21"/>
        </w:rPr>
        <w:t>要求。</w:t>
      </w:r>
      <w:r>
        <w:rPr>
          <w:rFonts w:hint="eastAsia" w:ascii="宋体" w:hAnsi="宋体"/>
          <w:szCs w:val="21"/>
        </w:rPr>
        <w:t>如无偏离，请在表中填写</w:t>
      </w:r>
      <w:r>
        <w:rPr>
          <w:rFonts w:hint="eastAsia" w:ascii="宋体" w:hAnsi="宋体"/>
          <w:b/>
          <w:szCs w:val="21"/>
        </w:rPr>
        <w:t>“无偏离”或“全部满足要求”</w:t>
      </w:r>
      <w:r>
        <w:rPr>
          <w:rFonts w:hint="eastAsia" w:ascii="宋体" w:hAnsi="宋体"/>
          <w:szCs w:val="21"/>
        </w:rPr>
        <w:t>，即表明</w:t>
      </w:r>
      <w:r>
        <w:rPr>
          <w:rFonts w:hint="eastAsia" w:ascii="宋体" w:hAnsi="宋体" w:cs="宋体"/>
          <w:bCs/>
          <w:szCs w:val="21"/>
        </w:rPr>
        <w:t>投标</w:t>
      </w:r>
      <w:r>
        <w:rPr>
          <w:rFonts w:hint="eastAsia" w:ascii="宋体" w:hAnsi="宋体"/>
          <w:szCs w:val="21"/>
        </w:rPr>
        <w:t>人接受合同中的所有条款。</w:t>
      </w:r>
    </w:p>
    <w:p>
      <w:pPr>
        <w:spacing w:line="276" w:lineRule="auto"/>
        <w:ind w:left="525" w:hanging="525" w:hangingChars="250"/>
        <w:rPr>
          <w:rFonts w:ascii="宋体" w:hAnsi="宋体"/>
          <w:b/>
          <w:szCs w:val="21"/>
        </w:rPr>
      </w:pPr>
      <w:r>
        <w:rPr>
          <w:rFonts w:hint="eastAsia" w:ascii="宋体" w:hAnsi="宋体"/>
          <w:szCs w:val="21"/>
        </w:rPr>
        <w:t>（3）此表所填内容为</w:t>
      </w:r>
      <w:r>
        <w:rPr>
          <w:rFonts w:hint="eastAsia" w:ascii="宋体" w:hAnsi="宋体" w:cs="宋体"/>
          <w:bCs/>
          <w:szCs w:val="21"/>
        </w:rPr>
        <w:t>投标</w:t>
      </w:r>
      <w:r>
        <w:rPr>
          <w:rFonts w:hint="eastAsia" w:ascii="宋体" w:hAnsi="宋体"/>
          <w:szCs w:val="21"/>
        </w:rPr>
        <w:t>人根据合同条款偏离的所有内容，其他未填内容，均表明</w:t>
      </w:r>
      <w:r>
        <w:rPr>
          <w:rFonts w:hint="eastAsia" w:ascii="宋体" w:hAnsi="宋体" w:cs="宋体"/>
          <w:bCs/>
          <w:szCs w:val="21"/>
        </w:rPr>
        <w:t>投标</w:t>
      </w:r>
      <w:r>
        <w:rPr>
          <w:rFonts w:hint="eastAsia" w:ascii="宋体" w:hAnsi="宋体"/>
          <w:szCs w:val="21"/>
        </w:rPr>
        <w:t>人满足竞争性磋商文件的要求</w:t>
      </w:r>
      <w:r>
        <w:rPr>
          <w:rFonts w:hint="eastAsia" w:ascii="宋体" w:hAnsi="宋体"/>
          <w:b/>
          <w:szCs w:val="21"/>
        </w:rPr>
        <w:t>（</w:t>
      </w:r>
      <w:r>
        <w:rPr>
          <w:rFonts w:hint="eastAsia" w:ascii="宋体" w:hAnsi="宋体" w:cs="宋体"/>
          <w:bCs/>
          <w:szCs w:val="21"/>
        </w:rPr>
        <w:t>投标</w:t>
      </w:r>
      <w:r>
        <w:rPr>
          <w:rFonts w:hint="eastAsia" w:ascii="宋体" w:hAnsi="宋体"/>
          <w:b/>
          <w:szCs w:val="21"/>
        </w:rPr>
        <w:t>人无需再做点对点应答）</w:t>
      </w:r>
    </w:p>
    <w:p>
      <w:pPr>
        <w:adjustRightInd w:val="0"/>
        <w:snapToGrid w:val="0"/>
        <w:spacing w:after="120" w:line="440" w:lineRule="exact"/>
        <w:ind w:left="693" w:hanging="693" w:hangingChars="330"/>
        <w:rPr>
          <w:rFonts w:ascii="宋体" w:hAnsi="宋体" w:cs="宋体"/>
          <w:szCs w:val="21"/>
        </w:rPr>
      </w:pPr>
    </w:p>
    <w:p>
      <w:pPr>
        <w:pStyle w:val="4"/>
        <w:snapToGrid w:val="0"/>
        <w:spacing w:line="440" w:lineRule="exact"/>
        <w:ind w:firstLine="2408" w:firstLineChars="1147"/>
        <w:rPr>
          <w:rFonts w:ascii="宋体" w:hAnsi="宋体" w:eastAsia="宋体"/>
          <w:bCs/>
          <w:kern w:val="2"/>
          <w:sz w:val="21"/>
          <w:szCs w:val="21"/>
          <w:u w:val="single"/>
        </w:rPr>
      </w:pPr>
      <w:r>
        <w:rPr>
          <w:rFonts w:hint="eastAsia" w:ascii="宋体" w:hAnsi="宋体" w:eastAsia="宋体"/>
          <w:bCs/>
          <w:kern w:val="2"/>
          <w:sz w:val="21"/>
          <w:szCs w:val="21"/>
        </w:rPr>
        <w:t>投标人：（盖单位公章）</w:t>
      </w:r>
    </w:p>
    <w:p>
      <w:pPr>
        <w:pStyle w:val="4"/>
        <w:snapToGrid w:val="0"/>
        <w:spacing w:line="440" w:lineRule="exact"/>
        <w:ind w:firstLine="2408" w:firstLineChars="1147"/>
        <w:rPr>
          <w:rFonts w:ascii="宋体" w:hAnsi="宋体" w:eastAsia="宋体"/>
          <w:bCs/>
          <w:kern w:val="2"/>
          <w:sz w:val="21"/>
          <w:szCs w:val="21"/>
          <w:u w:val="single"/>
        </w:rPr>
      </w:pPr>
      <w:r>
        <w:rPr>
          <w:rFonts w:hint="eastAsia" w:ascii="宋体" w:hAnsi="宋体" w:eastAsia="宋体"/>
          <w:bCs/>
          <w:kern w:val="2"/>
          <w:sz w:val="21"/>
          <w:szCs w:val="21"/>
        </w:rPr>
        <w:t>法定代表人（负责人）或者其委托代理人：（签字）</w:t>
      </w:r>
    </w:p>
    <w:p>
      <w:pPr>
        <w:pStyle w:val="4"/>
        <w:snapToGrid w:val="0"/>
        <w:spacing w:line="440" w:lineRule="exact"/>
        <w:ind w:firstLine="2408" w:firstLineChars="1147"/>
        <w:rPr>
          <w:rFonts w:ascii="宋体" w:hAnsi="宋体" w:eastAsia="宋体"/>
          <w:bCs/>
          <w:kern w:val="2"/>
          <w:sz w:val="21"/>
          <w:szCs w:val="21"/>
        </w:rPr>
      </w:pPr>
      <w:r>
        <w:rPr>
          <w:rFonts w:hint="eastAsia" w:ascii="宋体" w:hAnsi="宋体" w:eastAsia="宋体"/>
          <w:bCs/>
          <w:kern w:val="2"/>
          <w:sz w:val="21"/>
          <w:szCs w:val="21"/>
        </w:rPr>
        <w:t>日期：XX年XX月XX日</w:t>
      </w:r>
    </w:p>
    <w:bookmarkEnd w:id="860"/>
    <w:p>
      <w:pPr>
        <w:rPr>
          <w:rFonts w:ascii="宋体" w:hAnsi="宋体"/>
        </w:rPr>
      </w:pPr>
    </w:p>
    <w:p>
      <w:pPr>
        <w:pStyle w:val="35"/>
        <w:numPr>
          <w:ilvl w:val="0"/>
          <w:numId w:val="12"/>
        </w:numPr>
        <w:tabs>
          <w:tab w:val="left" w:pos="588"/>
        </w:tabs>
        <w:snapToGrid w:val="0"/>
        <w:spacing w:before="120" w:after="120" w:line="440" w:lineRule="exact"/>
        <w:jc w:val="left"/>
        <w:rPr>
          <w:rFonts w:ascii="宋体" w:hAnsi="宋体"/>
          <w:sz w:val="24"/>
          <w:szCs w:val="24"/>
        </w:rPr>
      </w:pPr>
      <w:bookmarkStart w:id="861" w:name="_Toc14929"/>
      <w:bookmarkStart w:id="862" w:name="_Toc17023"/>
      <w:bookmarkStart w:id="863" w:name="_Toc12017966"/>
      <w:bookmarkStart w:id="864" w:name="_Toc488655912"/>
      <w:r>
        <w:rPr>
          <w:rFonts w:hint="eastAsia" w:ascii="宋体" w:hAnsi="宋体"/>
          <w:sz w:val="24"/>
          <w:szCs w:val="24"/>
        </w:rPr>
        <w:t>技术规范书</w:t>
      </w:r>
      <w:bookmarkEnd w:id="861"/>
      <w:r>
        <w:rPr>
          <w:rFonts w:hint="eastAsia" w:ascii="宋体" w:hAnsi="宋体"/>
          <w:sz w:val="24"/>
        </w:rPr>
        <w:t>偏离表</w:t>
      </w:r>
      <w:bookmarkEnd w:id="862"/>
      <w:bookmarkEnd w:id="863"/>
    </w:p>
    <w:p>
      <w:pPr>
        <w:jc w:val="center"/>
        <w:rPr>
          <w:rFonts w:ascii="宋体" w:hAnsi="宋体"/>
          <w:b/>
          <w:sz w:val="24"/>
        </w:rPr>
      </w:pPr>
      <w:r>
        <w:rPr>
          <w:rFonts w:hint="eastAsia" w:ascii="宋体" w:hAnsi="宋体"/>
          <w:b/>
          <w:sz w:val="24"/>
        </w:rPr>
        <w:t>技术规范书偏离表</w:t>
      </w:r>
    </w:p>
    <w:p>
      <w:pPr>
        <w:adjustRightInd w:val="0"/>
        <w:snapToGrid w:val="0"/>
        <w:spacing w:after="120" w:line="440" w:lineRule="exact"/>
        <w:rPr>
          <w:rFonts w:ascii="宋体" w:hAnsi="宋体"/>
          <w:szCs w:val="21"/>
        </w:rPr>
      </w:pPr>
      <w:r>
        <w:rPr>
          <w:rFonts w:hint="eastAsia" w:ascii="宋体" w:hAnsi="宋体" w:cs="宋体"/>
          <w:szCs w:val="21"/>
        </w:rPr>
        <w:t>项目</w:t>
      </w:r>
      <w:r>
        <w:rPr>
          <w:rFonts w:ascii="宋体" w:hAnsi="宋体" w:cs="宋体"/>
          <w:szCs w:val="21"/>
        </w:rPr>
        <w:t>名称：招标编号：</w:t>
      </w:r>
      <w:r>
        <w:rPr>
          <w:rFonts w:hint="eastAsia" w:ascii="宋体" w:hAnsi="宋体" w:cs="宋体"/>
          <w:szCs w:val="21"/>
        </w:rPr>
        <w:t>分包</w:t>
      </w:r>
      <w:r>
        <w:rPr>
          <w:rFonts w:ascii="宋体" w:hAnsi="宋体" w:cs="宋体"/>
          <w:szCs w:val="21"/>
        </w:rPr>
        <w:t>：</w:t>
      </w:r>
    </w:p>
    <w:bookmarkEnd w:id="864"/>
    <w:tbl>
      <w:tblPr>
        <w:tblStyle w:val="39"/>
        <w:tblW w:w="8089" w:type="dxa"/>
        <w:tblInd w:w="108"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974"/>
        <w:gridCol w:w="2196"/>
        <w:gridCol w:w="1954"/>
        <w:gridCol w:w="1307"/>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Ex>
        <w:tc>
          <w:tcPr>
            <w:tcW w:w="658" w:type="dxa"/>
            <w:vAlign w:val="center"/>
          </w:tcPr>
          <w:p>
            <w:pPr>
              <w:adjustRightInd w:val="0"/>
              <w:snapToGrid w:val="0"/>
              <w:spacing w:line="440" w:lineRule="exact"/>
              <w:jc w:val="center"/>
              <w:rPr>
                <w:rFonts w:eastAsia="黑体"/>
                <w:szCs w:val="21"/>
              </w:rPr>
            </w:pPr>
            <w:r>
              <w:rPr>
                <w:rFonts w:ascii="宋体" w:hAnsi="宋体" w:cs="宋体"/>
                <w:szCs w:val="21"/>
              </w:rPr>
              <w:t>序号</w:t>
            </w:r>
          </w:p>
        </w:tc>
        <w:tc>
          <w:tcPr>
            <w:tcW w:w="1974" w:type="dxa"/>
            <w:vAlign w:val="center"/>
          </w:tcPr>
          <w:p>
            <w:pPr>
              <w:adjustRightInd w:val="0"/>
              <w:snapToGrid w:val="0"/>
              <w:spacing w:line="440" w:lineRule="exact"/>
              <w:jc w:val="center"/>
              <w:rPr>
                <w:rFonts w:eastAsia="黑体"/>
                <w:szCs w:val="21"/>
              </w:rPr>
            </w:pPr>
            <w:r>
              <w:rPr>
                <w:rFonts w:ascii="宋体" w:hAnsi="宋体" w:cs="宋体"/>
                <w:szCs w:val="21"/>
              </w:rPr>
              <w:t>竞争性磋商文件条目号</w:t>
            </w:r>
          </w:p>
        </w:tc>
        <w:tc>
          <w:tcPr>
            <w:tcW w:w="2196" w:type="dxa"/>
            <w:vAlign w:val="center"/>
          </w:tcPr>
          <w:p>
            <w:pPr>
              <w:adjustRightInd w:val="0"/>
              <w:snapToGrid w:val="0"/>
              <w:spacing w:line="440" w:lineRule="exact"/>
              <w:jc w:val="center"/>
              <w:rPr>
                <w:rFonts w:eastAsia="黑体"/>
                <w:szCs w:val="21"/>
              </w:rPr>
            </w:pPr>
            <w:r>
              <w:rPr>
                <w:rFonts w:ascii="宋体" w:hAnsi="宋体" w:cs="宋体"/>
                <w:szCs w:val="21"/>
              </w:rPr>
              <w:t>竞争性磋商文件的</w:t>
            </w:r>
            <w:r>
              <w:rPr>
                <w:rFonts w:hint="eastAsia" w:ascii="宋体" w:hAnsi="宋体" w:cs="宋体"/>
                <w:szCs w:val="21"/>
              </w:rPr>
              <w:t>合同</w:t>
            </w:r>
            <w:r>
              <w:rPr>
                <w:rFonts w:ascii="宋体" w:hAnsi="宋体" w:cs="宋体"/>
                <w:szCs w:val="21"/>
              </w:rPr>
              <w:t>条款</w:t>
            </w:r>
          </w:p>
        </w:tc>
        <w:tc>
          <w:tcPr>
            <w:tcW w:w="1954" w:type="dxa"/>
            <w:vAlign w:val="center"/>
          </w:tcPr>
          <w:p>
            <w:pPr>
              <w:adjustRightInd w:val="0"/>
              <w:snapToGrid w:val="0"/>
              <w:spacing w:line="440" w:lineRule="exact"/>
              <w:jc w:val="center"/>
              <w:rPr>
                <w:rFonts w:eastAsia="黑体"/>
                <w:szCs w:val="21"/>
              </w:rPr>
            </w:pPr>
            <w:r>
              <w:rPr>
                <w:rFonts w:hint="eastAsia" w:ascii="宋体" w:hAnsi="宋体" w:cs="宋体"/>
                <w:szCs w:val="21"/>
              </w:rPr>
              <w:t>投标文件</w:t>
            </w:r>
            <w:r>
              <w:rPr>
                <w:rFonts w:ascii="宋体" w:hAnsi="宋体" w:cs="宋体"/>
                <w:szCs w:val="21"/>
              </w:rPr>
              <w:t>偏离情况</w:t>
            </w:r>
          </w:p>
        </w:tc>
        <w:tc>
          <w:tcPr>
            <w:tcW w:w="1307" w:type="dxa"/>
            <w:vAlign w:val="center"/>
          </w:tcPr>
          <w:p>
            <w:pPr>
              <w:adjustRightInd w:val="0"/>
              <w:snapToGrid w:val="0"/>
              <w:spacing w:line="440" w:lineRule="exact"/>
              <w:jc w:val="center"/>
              <w:rPr>
                <w:rFonts w:eastAsia="黑体"/>
                <w:szCs w:val="21"/>
              </w:rPr>
            </w:pPr>
            <w:r>
              <w:rPr>
                <w:rFonts w:ascii="宋体" w:hAnsi="宋体" w:cs="宋体"/>
                <w:szCs w:val="21"/>
              </w:rPr>
              <w:t>说明</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Ex>
        <w:tc>
          <w:tcPr>
            <w:tcW w:w="658" w:type="dxa"/>
            <w:vAlign w:val="center"/>
          </w:tcPr>
          <w:p>
            <w:pPr>
              <w:adjustRightInd w:val="0"/>
              <w:snapToGrid w:val="0"/>
              <w:spacing w:beforeLines="30" w:afterLines="30"/>
              <w:rPr>
                <w:szCs w:val="21"/>
              </w:rPr>
            </w:pPr>
          </w:p>
        </w:tc>
        <w:tc>
          <w:tcPr>
            <w:tcW w:w="1974" w:type="dxa"/>
            <w:vAlign w:val="center"/>
          </w:tcPr>
          <w:p>
            <w:pPr>
              <w:adjustRightInd w:val="0"/>
              <w:snapToGrid w:val="0"/>
              <w:spacing w:beforeLines="30" w:afterLines="30"/>
              <w:rPr>
                <w:szCs w:val="21"/>
              </w:rPr>
            </w:pPr>
          </w:p>
        </w:tc>
        <w:tc>
          <w:tcPr>
            <w:tcW w:w="2196" w:type="dxa"/>
            <w:vAlign w:val="center"/>
          </w:tcPr>
          <w:p>
            <w:pPr>
              <w:adjustRightInd w:val="0"/>
              <w:snapToGrid w:val="0"/>
              <w:spacing w:beforeLines="30" w:afterLines="30"/>
              <w:rPr>
                <w:szCs w:val="21"/>
              </w:rPr>
            </w:pPr>
          </w:p>
        </w:tc>
        <w:tc>
          <w:tcPr>
            <w:tcW w:w="1954" w:type="dxa"/>
            <w:vAlign w:val="center"/>
          </w:tcPr>
          <w:p>
            <w:pPr>
              <w:adjustRightInd w:val="0"/>
              <w:snapToGrid w:val="0"/>
              <w:spacing w:beforeLines="30" w:afterLines="30"/>
              <w:rPr>
                <w:szCs w:val="21"/>
              </w:rPr>
            </w:pPr>
          </w:p>
        </w:tc>
        <w:tc>
          <w:tcPr>
            <w:tcW w:w="1307" w:type="dxa"/>
            <w:vAlign w:val="center"/>
          </w:tcPr>
          <w:p>
            <w:pPr>
              <w:adjustRightInd w:val="0"/>
              <w:snapToGrid w:val="0"/>
              <w:spacing w:beforeLines="30" w:afterLines="30"/>
              <w:rPr>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Ex>
        <w:tc>
          <w:tcPr>
            <w:tcW w:w="658" w:type="dxa"/>
            <w:vAlign w:val="center"/>
          </w:tcPr>
          <w:p>
            <w:pPr>
              <w:adjustRightInd w:val="0"/>
              <w:snapToGrid w:val="0"/>
              <w:spacing w:beforeLines="30" w:afterLines="30"/>
              <w:rPr>
                <w:szCs w:val="21"/>
              </w:rPr>
            </w:pPr>
          </w:p>
        </w:tc>
        <w:tc>
          <w:tcPr>
            <w:tcW w:w="1974" w:type="dxa"/>
            <w:vAlign w:val="center"/>
          </w:tcPr>
          <w:p>
            <w:pPr>
              <w:adjustRightInd w:val="0"/>
              <w:snapToGrid w:val="0"/>
              <w:spacing w:beforeLines="30" w:afterLines="30"/>
              <w:rPr>
                <w:szCs w:val="21"/>
              </w:rPr>
            </w:pPr>
          </w:p>
        </w:tc>
        <w:tc>
          <w:tcPr>
            <w:tcW w:w="2196" w:type="dxa"/>
            <w:vAlign w:val="center"/>
          </w:tcPr>
          <w:p>
            <w:pPr>
              <w:adjustRightInd w:val="0"/>
              <w:snapToGrid w:val="0"/>
              <w:spacing w:beforeLines="30" w:afterLines="30"/>
              <w:rPr>
                <w:szCs w:val="21"/>
              </w:rPr>
            </w:pPr>
          </w:p>
        </w:tc>
        <w:tc>
          <w:tcPr>
            <w:tcW w:w="1954" w:type="dxa"/>
            <w:vAlign w:val="center"/>
          </w:tcPr>
          <w:p>
            <w:pPr>
              <w:adjustRightInd w:val="0"/>
              <w:snapToGrid w:val="0"/>
              <w:spacing w:beforeLines="30" w:afterLines="30"/>
              <w:rPr>
                <w:szCs w:val="21"/>
              </w:rPr>
            </w:pPr>
          </w:p>
        </w:tc>
        <w:tc>
          <w:tcPr>
            <w:tcW w:w="1307" w:type="dxa"/>
            <w:vAlign w:val="center"/>
          </w:tcPr>
          <w:p>
            <w:pPr>
              <w:adjustRightInd w:val="0"/>
              <w:snapToGrid w:val="0"/>
              <w:spacing w:beforeLines="30" w:afterLines="30"/>
              <w:rPr>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Ex>
        <w:tc>
          <w:tcPr>
            <w:tcW w:w="658" w:type="dxa"/>
            <w:vAlign w:val="center"/>
          </w:tcPr>
          <w:p>
            <w:pPr>
              <w:adjustRightInd w:val="0"/>
              <w:snapToGrid w:val="0"/>
              <w:spacing w:beforeLines="30" w:afterLines="30"/>
              <w:rPr>
                <w:szCs w:val="21"/>
              </w:rPr>
            </w:pPr>
          </w:p>
        </w:tc>
        <w:tc>
          <w:tcPr>
            <w:tcW w:w="1974" w:type="dxa"/>
            <w:vAlign w:val="center"/>
          </w:tcPr>
          <w:p>
            <w:pPr>
              <w:adjustRightInd w:val="0"/>
              <w:snapToGrid w:val="0"/>
              <w:spacing w:beforeLines="30" w:afterLines="30"/>
              <w:rPr>
                <w:szCs w:val="21"/>
              </w:rPr>
            </w:pPr>
          </w:p>
        </w:tc>
        <w:tc>
          <w:tcPr>
            <w:tcW w:w="2196" w:type="dxa"/>
            <w:vAlign w:val="center"/>
          </w:tcPr>
          <w:p>
            <w:pPr>
              <w:adjustRightInd w:val="0"/>
              <w:snapToGrid w:val="0"/>
              <w:spacing w:beforeLines="30" w:afterLines="30"/>
              <w:rPr>
                <w:szCs w:val="21"/>
              </w:rPr>
            </w:pPr>
          </w:p>
        </w:tc>
        <w:tc>
          <w:tcPr>
            <w:tcW w:w="1954" w:type="dxa"/>
            <w:vAlign w:val="center"/>
          </w:tcPr>
          <w:p>
            <w:pPr>
              <w:adjustRightInd w:val="0"/>
              <w:snapToGrid w:val="0"/>
              <w:spacing w:beforeLines="30" w:afterLines="30"/>
              <w:rPr>
                <w:szCs w:val="21"/>
              </w:rPr>
            </w:pPr>
          </w:p>
        </w:tc>
        <w:tc>
          <w:tcPr>
            <w:tcW w:w="1307" w:type="dxa"/>
            <w:vAlign w:val="center"/>
          </w:tcPr>
          <w:p>
            <w:pPr>
              <w:adjustRightInd w:val="0"/>
              <w:snapToGrid w:val="0"/>
              <w:spacing w:beforeLines="30" w:afterLines="30"/>
              <w:rPr>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Ex>
        <w:tc>
          <w:tcPr>
            <w:tcW w:w="658" w:type="dxa"/>
            <w:vAlign w:val="center"/>
          </w:tcPr>
          <w:p>
            <w:pPr>
              <w:adjustRightInd w:val="0"/>
              <w:snapToGrid w:val="0"/>
              <w:spacing w:beforeLines="30" w:afterLines="30"/>
              <w:rPr>
                <w:szCs w:val="21"/>
              </w:rPr>
            </w:pPr>
          </w:p>
        </w:tc>
        <w:tc>
          <w:tcPr>
            <w:tcW w:w="1974" w:type="dxa"/>
            <w:vAlign w:val="center"/>
          </w:tcPr>
          <w:p>
            <w:pPr>
              <w:adjustRightInd w:val="0"/>
              <w:snapToGrid w:val="0"/>
              <w:spacing w:beforeLines="30" w:afterLines="30"/>
              <w:rPr>
                <w:szCs w:val="21"/>
              </w:rPr>
            </w:pPr>
          </w:p>
        </w:tc>
        <w:tc>
          <w:tcPr>
            <w:tcW w:w="2196" w:type="dxa"/>
            <w:vAlign w:val="center"/>
          </w:tcPr>
          <w:p>
            <w:pPr>
              <w:adjustRightInd w:val="0"/>
              <w:snapToGrid w:val="0"/>
              <w:spacing w:beforeLines="30" w:afterLines="30"/>
              <w:rPr>
                <w:szCs w:val="21"/>
              </w:rPr>
            </w:pPr>
          </w:p>
        </w:tc>
        <w:tc>
          <w:tcPr>
            <w:tcW w:w="1954" w:type="dxa"/>
            <w:vAlign w:val="center"/>
          </w:tcPr>
          <w:p>
            <w:pPr>
              <w:adjustRightInd w:val="0"/>
              <w:snapToGrid w:val="0"/>
              <w:spacing w:beforeLines="30" w:afterLines="30"/>
              <w:rPr>
                <w:szCs w:val="21"/>
              </w:rPr>
            </w:pPr>
          </w:p>
        </w:tc>
        <w:tc>
          <w:tcPr>
            <w:tcW w:w="1307" w:type="dxa"/>
            <w:vAlign w:val="center"/>
          </w:tcPr>
          <w:p>
            <w:pPr>
              <w:adjustRightInd w:val="0"/>
              <w:snapToGrid w:val="0"/>
              <w:spacing w:beforeLines="30" w:afterLines="30"/>
              <w:rPr>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Ex>
        <w:tc>
          <w:tcPr>
            <w:tcW w:w="658" w:type="dxa"/>
            <w:vAlign w:val="center"/>
          </w:tcPr>
          <w:p>
            <w:pPr>
              <w:adjustRightInd w:val="0"/>
              <w:snapToGrid w:val="0"/>
              <w:spacing w:beforeLines="30" w:afterLines="30"/>
              <w:rPr>
                <w:szCs w:val="21"/>
              </w:rPr>
            </w:pPr>
          </w:p>
        </w:tc>
        <w:tc>
          <w:tcPr>
            <w:tcW w:w="1974" w:type="dxa"/>
            <w:vAlign w:val="center"/>
          </w:tcPr>
          <w:p>
            <w:pPr>
              <w:adjustRightInd w:val="0"/>
              <w:snapToGrid w:val="0"/>
              <w:spacing w:beforeLines="30" w:afterLines="30"/>
              <w:rPr>
                <w:szCs w:val="21"/>
              </w:rPr>
            </w:pPr>
          </w:p>
        </w:tc>
        <w:tc>
          <w:tcPr>
            <w:tcW w:w="2196" w:type="dxa"/>
            <w:vAlign w:val="center"/>
          </w:tcPr>
          <w:p>
            <w:pPr>
              <w:adjustRightInd w:val="0"/>
              <w:snapToGrid w:val="0"/>
              <w:spacing w:beforeLines="30" w:afterLines="30"/>
              <w:rPr>
                <w:szCs w:val="21"/>
              </w:rPr>
            </w:pPr>
          </w:p>
        </w:tc>
        <w:tc>
          <w:tcPr>
            <w:tcW w:w="1954" w:type="dxa"/>
            <w:vAlign w:val="center"/>
          </w:tcPr>
          <w:p>
            <w:pPr>
              <w:adjustRightInd w:val="0"/>
              <w:snapToGrid w:val="0"/>
              <w:spacing w:beforeLines="30" w:afterLines="30"/>
              <w:rPr>
                <w:szCs w:val="21"/>
              </w:rPr>
            </w:pPr>
          </w:p>
        </w:tc>
        <w:tc>
          <w:tcPr>
            <w:tcW w:w="1307" w:type="dxa"/>
            <w:vAlign w:val="center"/>
          </w:tcPr>
          <w:p>
            <w:pPr>
              <w:adjustRightInd w:val="0"/>
              <w:snapToGrid w:val="0"/>
              <w:spacing w:beforeLines="30" w:afterLines="30"/>
              <w:rPr>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Ex>
        <w:tc>
          <w:tcPr>
            <w:tcW w:w="658" w:type="dxa"/>
            <w:vAlign w:val="center"/>
          </w:tcPr>
          <w:p>
            <w:pPr>
              <w:adjustRightInd w:val="0"/>
              <w:snapToGrid w:val="0"/>
              <w:spacing w:beforeLines="30" w:afterLines="30"/>
              <w:rPr>
                <w:szCs w:val="21"/>
              </w:rPr>
            </w:pPr>
          </w:p>
        </w:tc>
        <w:tc>
          <w:tcPr>
            <w:tcW w:w="1974" w:type="dxa"/>
            <w:vAlign w:val="center"/>
          </w:tcPr>
          <w:p>
            <w:pPr>
              <w:adjustRightInd w:val="0"/>
              <w:snapToGrid w:val="0"/>
              <w:spacing w:beforeLines="30" w:afterLines="30"/>
              <w:rPr>
                <w:szCs w:val="21"/>
              </w:rPr>
            </w:pPr>
          </w:p>
        </w:tc>
        <w:tc>
          <w:tcPr>
            <w:tcW w:w="2196" w:type="dxa"/>
            <w:vAlign w:val="center"/>
          </w:tcPr>
          <w:p>
            <w:pPr>
              <w:adjustRightInd w:val="0"/>
              <w:snapToGrid w:val="0"/>
              <w:spacing w:beforeLines="30" w:afterLines="30"/>
              <w:rPr>
                <w:szCs w:val="21"/>
              </w:rPr>
            </w:pPr>
          </w:p>
        </w:tc>
        <w:tc>
          <w:tcPr>
            <w:tcW w:w="1954" w:type="dxa"/>
            <w:vAlign w:val="center"/>
          </w:tcPr>
          <w:p>
            <w:pPr>
              <w:adjustRightInd w:val="0"/>
              <w:snapToGrid w:val="0"/>
              <w:spacing w:beforeLines="30" w:afterLines="30"/>
              <w:rPr>
                <w:szCs w:val="21"/>
              </w:rPr>
            </w:pPr>
          </w:p>
        </w:tc>
        <w:tc>
          <w:tcPr>
            <w:tcW w:w="1307" w:type="dxa"/>
            <w:vAlign w:val="center"/>
          </w:tcPr>
          <w:p>
            <w:pPr>
              <w:adjustRightInd w:val="0"/>
              <w:snapToGrid w:val="0"/>
              <w:spacing w:beforeLines="30" w:afterLines="30"/>
              <w:rPr>
                <w:szCs w:val="21"/>
              </w:rPr>
            </w:pPr>
          </w:p>
        </w:tc>
      </w:tr>
    </w:tbl>
    <w:p>
      <w:pPr>
        <w:tabs>
          <w:tab w:val="left" w:pos="318"/>
        </w:tabs>
        <w:spacing w:line="400" w:lineRule="exact"/>
        <w:ind w:left="525" w:hanging="525" w:hangingChars="250"/>
        <w:rPr>
          <w:rFonts w:ascii="宋体" w:hAnsi="宋体"/>
          <w:szCs w:val="21"/>
        </w:rPr>
      </w:pPr>
      <w:r>
        <w:rPr>
          <w:rFonts w:hint="eastAsia" w:ascii="宋体" w:hAnsi="宋体"/>
          <w:szCs w:val="21"/>
        </w:rPr>
        <w:t>注：</w:t>
      </w:r>
    </w:p>
    <w:p>
      <w:pPr>
        <w:tabs>
          <w:tab w:val="left" w:pos="318"/>
        </w:tabs>
        <w:spacing w:line="276" w:lineRule="auto"/>
        <w:ind w:left="525" w:hanging="525" w:hangingChars="250"/>
        <w:rPr>
          <w:rFonts w:ascii="宋体" w:hAnsi="宋体"/>
          <w:b/>
          <w:szCs w:val="21"/>
        </w:rPr>
      </w:pPr>
      <w:r>
        <w:rPr>
          <w:rFonts w:hint="eastAsia" w:ascii="宋体" w:hAnsi="宋体"/>
          <w:szCs w:val="21"/>
        </w:rPr>
        <w:t>（1）</w:t>
      </w:r>
      <w:r>
        <w:rPr>
          <w:rFonts w:hint="eastAsia" w:ascii="宋体" w:hAnsi="宋体" w:cs="宋体"/>
          <w:bCs/>
          <w:szCs w:val="21"/>
        </w:rPr>
        <w:t>投标</w:t>
      </w:r>
      <w:r>
        <w:rPr>
          <w:rFonts w:hint="eastAsia" w:ascii="宋体" w:hAnsi="宋体"/>
          <w:szCs w:val="21"/>
        </w:rPr>
        <w:t>人应</w:t>
      </w:r>
      <w:r>
        <w:rPr>
          <w:rFonts w:ascii="宋体" w:hAnsi="宋体"/>
          <w:szCs w:val="21"/>
        </w:rPr>
        <w:t>对</w:t>
      </w:r>
      <w:r>
        <w:rPr>
          <w:rFonts w:hint="eastAsia" w:ascii="宋体" w:hAnsi="宋体"/>
          <w:szCs w:val="21"/>
        </w:rPr>
        <w:t>竞争性磋商文件</w:t>
      </w:r>
      <w:r>
        <w:rPr>
          <w:rFonts w:ascii="宋体" w:hAnsi="宋体"/>
          <w:szCs w:val="21"/>
        </w:rPr>
        <w:t>中的</w:t>
      </w:r>
      <w:r>
        <w:rPr>
          <w:rFonts w:hint="eastAsia" w:ascii="宋体" w:hAnsi="宋体"/>
          <w:b/>
          <w:bCs/>
          <w:szCs w:val="21"/>
        </w:rPr>
        <w:t>“第五章 技术标准和要求”中未加★项</w:t>
      </w:r>
      <w:r>
        <w:rPr>
          <w:rFonts w:ascii="宋体" w:hAnsi="宋体"/>
          <w:szCs w:val="21"/>
        </w:rPr>
        <w:t>进行</w:t>
      </w:r>
      <w:r>
        <w:rPr>
          <w:rFonts w:hint="eastAsia" w:ascii="宋体" w:hAnsi="宋体"/>
          <w:szCs w:val="21"/>
        </w:rPr>
        <w:t>偏离说明，填写</w:t>
      </w:r>
      <w:r>
        <w:rPr>
          <w:rFonts w:hint="eastAsia" w:ascii="宋体" w:hAnsi="宋体"/>
          <w:b/>
          <w:bCs/>
          <w:szCs w:val="21"/>
        </w:rPr>
        <w:t>技术规范书偏离表</w:t>
      </w:r>
      <w:r>
        <w:rPr>
          <w:rFonts w:hint="eastAsia" w:ascii="宋体" w:hAnsi="宋体"/>
          <w:b/>
          <w:szCs w:val="21"/>
        </w:rPr>
        <w:t>。</w:t>
      </w:r>
    </w:p>
    <w:p>
      <w:pPr>
        <w:spacing w:line="276" w:lineRule="auto"/>
        <w:ind w:left="525" w:hanging="525" w:hangingChars="250"/>
        <w:rPr>
          <w:rFonts w:ascii="宋体" w:hAnsi="宋体"/>
          <w:szCs w:val="21"/>
        </w:rPr>
      </w:pPr>
      <w:r>
        <w:rPr>
          <w:rFonts w:hint="eastAsia" w:ascii="宋体" w:hAnsi="宋体"/>
          <w:szCs w:val="21"/>
        </w:rPr>
        <w:t>（2）</w:t>
      </w:r>
      <w:r>
        <w:rPr>
          <w:rFonts w:ascii="宋体" w:hAnsi="宋体"/>
          <w:szCs w:val="21"/>
        </w:rPr>
        <w:t>偏离包括正、负偏离，正偏离指</w:t>
      </w:r>
      <w:r>
        <w:rPr>
          <w:rFonts w:hint="eastAsia" w:ascii="宋体" w:hAnsi="宋体" w:cs="宋体"/>
          <w:bCs/>
          <w:szCs w:val="21"/>
        </w:rPr>
        <w:t>投标</w:t>
      </w:r>
      <w:r>
        <w:rPr>
          <w:rFonts w:ascii="宋体" w:hAnsi="宋体"/>
          <w:szCs w:val="21"/>
        </w:rPr>
        <w:t>人的响应高于</w:t>
      </w:r>
      <w:r>
        <w:rPr>
          <w:rFonts w:hint="eastAsia" w:ascii="宋体" w:hAnsi="宋体"/>
          <w:szCs w:val="21"/>
        </w:rPr>
        <w:t>竞争性磋商文件</w:t>
      </w:r>
      <w:r>
        <w:rPr>
          <w:rFonts w:ascii="宋体" w:hAnsi="宋体"/>
          <w:szCs w:val="21"/>
        </w:rPr>
        <w:t>要求，负偏离</w:t>
      </w:r>
      <w:r>
        <w:rPr>
          <w:rFonts w:hint="eastAsia" w:ascii="宋体" w:hAnsi="宋体"/>
          <w:szCs w:val="21"/>
        </w:rPr>
        <w:t>指</w:t>
      </w:r>
      <w:r>
        <w:rPr>
          <w:rFonts w:ascii="宋体" w:hAnsi="宋体"/>
          <w:szCs w:val="21"/>
        </w:rPr>
        <w:t>投标人的响应低于</w:t>
      </w:r>
      <w:r>
        <w:rPr>
          <w:rFonts w:hint="eastAsia" w:ascii="宋体" w:hAnsi="宋体"/>
          <w:szCs w:val="21"/>
        </w:rPr>
        <w:t>竞争性磋商文件</w:t>
      </w:r>
      <w:r>
        <w:rPr>
          <w:rFonts w:ascii="宋体" w:hAnsi="宋体"/>
          <w:szCs w:val="21"/>
        </w:rPr>
        <w:t>要求。</w:t>
      </w:r>
      <w:r>
        <w:rPr>
          <w:rFonts w:hint="eastAsia" w:ascii="宋体" w:hAnsi="宋体"/>
          <w:szCs w:val="21"/>
        </w:rPr>
        <w:t>如无偏离，请在表中填写</w:t>
      </w:r>
      <w:r>
        <w:rPr>
          <w:rFonts w:hint="eastAsia" w:ascii="宋体" w:hAnsi="宋体"/>
          <w:b/>
          <w:szCs w:val="21"/>
        </w:rPr>
        <w:t>“无偏离”或“全部满足要求”</w:t>
      </w:r>
      <w:r>
        <w:rPr>
          <w:rFonts w:hint="eastAsia" w:ascii="宋体" w:hAnsi="宋体"/>
          <w:szCs w:val="21"/>
        </w:rPr>
        <w:t>，即表明</w:t>
      </w:r>
      <w:r>
        <w:rPr>
          <w:rFonts w:hint="eastAsia" w:ascii="宋体" w:hAnsi="宋体" w:cs="宋体"/>
          <w:bCs/>
          <w:szCs w:val="21"/>
        </w:rPr>
        <w:t>投标</w:t>
      </w:r>
      <w:r>
        <w:rPr>
          <w:rFonts w:hint="eastAsia" w:ascii="宋体" w:hAnsi="宋体"/>
          <w:szCs w:val="21"/>
        </w:rPr>
        <w:t>人接受合同中的所有条款。</w:t>
      </w:r>
    </w:p>
    <w:p>
      <w:pPr>
        <w:spacing w:line="276" w:lineRule="auto"/>
        <w:ind w:left="525" w:hanging="525" w:hangingChars="250"/>
        <w:rPr>
          <w:rFonts w:ascii="宋体" w:hAnsi="宋体"/>
          <w:b/>
          <w:szCs w:val="21"/>
        </w:rPr>
      </w:pPr>
      <w:r>
        <w:rPr>
          <w:rFonts w:hint="eastAsia" w:ascii="宋体" w:hAnsi="宋体"/>
          <w:szCs w:val="21"/>
        </w:rPr>
        <w:t>（3）此表所填内容为</w:t>
      </w:r>
      <w:r>
        <w:rPr>
          <w:rFonts w:hint="eastAsia" w:ascii="宋体" w:hAnsi="宋体" w:cs="宋体"/>
          <w:bCs/>
          <w:szCs w:val="21"/>
        </w:rPr>
        <w:t>投标</w:t>
      </w:r>
      <w:r>
        <w:rPr>
          <w:rFonts w:hint="eastAsia" w:ascii="宋体" w:hAnsi="宋体"/>
          <w:szCs w:val="21"/>
        </w:rPr>
        <w:t>人根据技术标准和要求偏离的所有内容，其他未填内容，均表明</w:t>
      </w:r>
      <w:r>
        <w:rPr>
          <w:rFonts w:hint="eastAsia" w:ascii="宋体" w:hAnsi="宋体" w:cs="宋体"/>
          <w:bCs/>
          <w:szCs w:val="21"/>
        </w:rPr>
        <w:t>投标</w:t>
      </w:r>
      <w:r>
        <w:rPr>
          <w:rFonts w:hint="eastAsia" w:ascii="宋体" w:hAnsi="宋体"/>
          <w:szCs w:val="21"/>
        </w:rPr>
        <w:t>人满足竞争性磋商文件的要求</w:t>
      </w:r>
      <w:r>
        <w:rPr>
          <w:rFonts w:hint="eastAsia" w:ascii="宋体" w:hAnsi="宋体"/>
          <w:b/>
          <w:szCs w:val="21"/>
        </w:rPr>
        <w:t>（</w:t>
      </w:r>
      <w:r>
        <w:rPr>
          <w:rFonts w:hint="eastAsia" w:ascii="宋体" w:hAnsi="宋体" w:cs="宋体"/>
          <w:bCs/>
          <w:szCs w:val="21"/>
        </w:rPr>
        <w:t>投标</w:t>
      </w:r>
      <w:r>
        <w:rPr>
          <w:rFonts w:hint="eastAsia" w:ascii="宋体" w:hAnsi="宋体"/>
          <w:b/>
          <w:szCs w:val="21"/>
        </w:rPr>
        <w:t>人无需再做点对点应答）</w:t>
      </w:r>
    </w:p>
    <w:p>
      <w:pPr>
        <w:adjustRightInd w:val="0"/>
        <w:snapToGrid w:val="0"/>
        <w:spacing w:after="120" w:line="440" w:lineRule="exact"/>
        <w:ind w:left="693" w:hanging="693" w:hangingChars="330"/>
        <w:rPr>
          <w:rFonts w:ascii="宋体" w:hAnsi="宋体" w:cs="宋体"/>
          <w:szCs w:val="21"/>
        </w:rPr>
      </w:pPr>
    </w:p>
    <w:p>
      <w:pPr>
        <w:pStyle w:val="4"/>
        <w:snapToGrid w:val="0"/>
        <w:spacing w:line="440" w:lineRule="exact"/>
        <w:ind w:firstLine="2408" w:firstLineChars="1147"/>
        <w:rPr>
          <w:rFonts w:ascii="宋体" w:hAnsi="宋体" w:eastAsia="宋体"/>
          <w:bCs/>
          <w:kern w:val="2"/>
          <w:sz w:val="21"/>
          <w:szCs w:val="21"/>
          <w:u w:val="single"/>
        </w:rPr>
      </w:pPr>
      <w:r>
        <w:rPr>
          <w:rFonts w:hint="eastAsia" w:ascii="宋体" w:hAnsi="宋体" w:eastAsia="宋体"/>
          <w:bCs/>
          <w:kern w:val="2"/>
          <w:sz w:val="21"/>
          <w:szCs w:val="21"/>
        </w:rPr>
        <w:t>投标人：（盖单位公章）</w:t>
      </w:r>
    </w:p>
    <w:p>
      <w:pPr>
        <w:pStyle w:val="4"/>
        <w:snapToGrid w:val="0"/>
        <w:spacing w:line="440" w:lineRule="exact"/>
        <w:ind w:firstLine="2408" w:firstLineChars="1147"/>
        <w:rPr>
          <w:rFonts w:ascii="宋体" w:hAnsi="宋体" w:eastAsia="宋体"/>
          <w:bCs/>
          <w:kern w:val="2"/>
          <w:sz w:val="21"/>
          <w:szCs w:val="21"/>
          <w:u w:val="single"/>
        </w:rPr>
      </w:pPr>
      <w:r>
        <w:rPr>
          <w:rFonts w:hint="eastAsia" w:ascii="宋体" w:hAnsi="宋体" w:eastAsia="宋体"/>
          <w:bCs/>
          <w:kern w:val="2"/>
          <w:sz w:val="21"/>
          <w:szCs w:val="21"/>
        </w:rPr>
        <w:t>法定代表人（负责人）或者其委托代理人：（签字）</w:t>
      </w:r>
    </w:p>
    <w:p>
      <w:pPr>
        <w:pStyle w:val="4"/>
        <w:snapToGrid w:val="0"/>
        <w:spacing w:line="440" w:lineRule="exact"/>
        <w:ind w:firstLine="2408" w:firstLineChars="1147"/>
        <w:rPr>
          <w:rFonts w:ascii="宋体" w:hAnsi="宋体" w:eastAsia="宋体"/>
          <w:bCs/>
          <w:kern w:val="2"/>
          <w:sz w:val="21"/>
          <w:szCs w:val="21"/>
        </w:rPr>
      </w:pPr>
      <w:r>
        <w:rPr>
          <w:rFonts w:hint="eastAsia" w:ascii="宋体" w:hAnsi="宋体" w:eastAsia="宋体"/>
          <w:bCs/>
          <w:kern w:val="2"/>
          <w:sz w:val="21"/>
          <w:szCs w:val="21"/>
        </w:rPr>
        <w:t>日期：XX年XX月XX日</w:t>
      </w:r>
    </w:p>
    <w:p>
      <w:pPr>
        <w:rPr>
          <w:rFonts w:ascii="宋体" w:hAnsi="宋体"/>
        </w:rPr>
        <w:sectPr>
          <w:pgSz w:w="11906" w:h="16838"/>
          <w:pgMar w:top="1440" w:right="1797" w:bottom="1440" w:left="1797" w:header="851" w:footer="992" w:gutter="0"/>
          <w:cols w:space="425" w:num="1"/>
          <w:docGrid w:type="lines" w:linePitch="312" w:charSpace="0"/>
        </w:sectPr>
      </w:pPr>
      <w:r>
        <w:rPr>
          <w:rFonts w:hint="eastAsia" w:ascii="宋体" w:hAnsi="宋体"/>
          <w:b/>
          <w:sz w:val="24"/>
        </w:rPr>
        <w:br w:type="page"/>
      </w:r>
    </w:p>
    <w:p>
      <w:pPr>
        <w:rPr>
          <w:rFonts w:ascii="宋体" w:hAnsi="宋体"/>
        </w:rPr>
      </w:pPr>
    </w:p>
    <w:p>
      <w:pPr>
        <w:pStyle w:val="35"/>
        <w:numPr>
          <w:ilvl w:val="0"/>
          <w:numId w:val="12"/>
        </w:numPr>
        <w:tabs>
          <w:tab w:val="left" w:pos="588"/>
        </w:tabs>
        <w:snapToGrid w:val="0"/>
        <w:spacing w:before="120" w:after="120" w:line="440" w:lineRule="exact"/>
        <w:jc w:val="left"/>
        <w:rPr>
          <w:rFonts w:ascii="宋体" w:hAnsi="宋体"/>
          <w:sz w:val="24"/>
          <w:szCs w:val="24"/>
        </w:rPr>
      </w:pPr>
      <w:bookmarkStart w:id="865" w:name="_Toc12017967"/>
      <w:r>
        <w:rPr>
          <w:rFonts w:hint="eastAsia" w:ascii="宋体" w:hAnsi="宋体"/>
          <w:sz w:val="24"/>
          <w:szCs w:val="24"/>
        </w:rPr>
        <w:t>承诺书</w:t>
      </w:r>
      <w:bookmarkEnd w:id="865"/>
    </w:p>
    <w:p>
      <w:pPr>
        <w:jc w:val="center"/>
      </w:pPr>
      <w:r>
        <w:rPr>
          <w:rFonts w:hint="eastAsia" w:ascii="宋体" w:hAnsi="宋体"/>
          <w:sz w:val="24"/>
        </w:rPr>
        <w:t>承诺书</w:t>
      </w:r>
    </w:p>
    <w:p>
      <w:pPr>
        <w:rPr>
          <w:rFonts w:ascii="宋体" w:hAnsi="宋体"/>
        </w:rPr>
      </w:pPr>
    </w:p>
    <w:p>
      <w:pPr>
        <w:spacing w:line="300" w:lineRule="auto"/>
        <w:rPr>
          <w:rFonts w:ascii="宋体" w:hAnsi="宋体"/>
          <w:szCs w:val="21"/>
          <w:u w:val="single"/>
        </w:rPr>
      </w:pPr>
      <w:r>
        <w:rPr>
          <w:rFonts w:hint="eastAsia" w:ascii="宋体" w:hAnsi="宋体"/>
          <w:szCs w:val="21"/>
        </w:rPr>
        <w:t>致</w:t>
      </w:r>
      <w:r>
        <w:rPr>
          <w:rFonts w:hint="eastAsia" w:ascii="宋体" w:hAnsi="宋体"/>
          <w:szCs w:val="21"/>
          <w:u w:val="single"/>
        </w:rPr>
        <w:t xml:space="preserve">    招标人      </w:t>
      </w:r>
      <w:r>
        <w:rPr>
          <w:rFonts w:hint="eastAsia" w:ascii="宋体" w:hAnsi="宋体"/>
          <w:szCs w:val="21"/>
        </w:rPr>
        <w:t>：</w:t>
      </w:r>
    </w:p>
    <w:p>
      <w:pPr>
        <w:ind w:firstLine="525" w:firstLineChars="250"/>
        <w:rPr>
          <w:rFonts w:ascii="宋体" w:hAnsi="宋体"/>
          <w:kern w:val="0"/>
          <w:szCs w:val="21"/>
        </w:rPr>
      </w:pPr>
      <w:r>
        <w:rPr>
          <w:rFonts w:hint="eastAsia" w:ascii="宋体" w:hAnsi="宋体"/>
          <w:kern w:val="0"/>
          <w:szCs w:val="21"/>
        </w:rPr>
        <w:t>我公司为，现参与项目的招标活动，现承诺如下：</w:t>
      </w:r>
    </w:p>
    <w:p>
      <w:pPr>
        <w:numPr>
          <w:ilvl w:val="0"/>
          <w:numId w:val="17"/>
        </w:numPr>
        <w:rPr>
          <w:rFonts w:ascii="宋体" w:hAnsi="宋体"/>
          <w:kern w:val="0"/>
          <w:szCs w:val="21"/>
        </w:rPr>
      </w:pPr>
      <w:r>
        <w:rPr>
          <w:rFonts w:hint="eastAsia" w:ascii="宋体" w:hAnsi="宋体"/>
          <w:kern w:val="0"/>
          <w:szCs w:val="21"/>
        </w:rPr>
        <w:t>我公司承诺可以开具符合甲方要求的增值税专用发票；</w:t>
      </w:r>
    </w:p>
    <w:p>
      <w:pPr>
        <w:numPr>
          <w:ilvl w:val="0"/>
          <w:numId w:val="17"/>
        </w:numPr>
        <w:rPr>
          <w:rFonts w:ascii="宋体" w:hAnsi="宋体"/>
          <w:kern w:val="0"/>
          <w:szCs w:val="21"/>
        </w:rPr>
      </w:pPr>
      <w:r>
        <w:rPr>
          <w:rFonts w:hint="eastAsia" w:ascii="宋体" w:hAnsi="宋体" w:cs="宋体"/>
          <w:szCs w:val="21"/>
        </w:rPr>
        <w:t>我公司承诺具有良好的银行资信和商业信誉；无处于被责令停业；财产被接管，冻结，破产状态。</w:t>
      </w:r>
    </w:p>
    <w:p>
      <w:pPr>
        <w:rPr>
          <w:rFonts w:ascii="宋体" w:hAnsi="宋体"/>
          <w:szCs w:val="21"/>
        </w:rPr>
      </w:pPr>
      <w:r>
        <w:rPr>
          <w:rFonts w:hint="eastAsia" w:ascii="宋体" w:hAnsi="宋体"/>
          <w:szCs w:val="21"/>
        </w:rPr>
        <w:t>3、我公司承诺不存在下列情形之一：</w:t>
      </w:r>
    </w:p>
    <w:p>
      <w:pPr>
        <w:tabs>
          <w:tab w:val="left" w:pos="0"/>
          <w:tab w:val="left" w:pos="993"/>
        </w:tabs>
        <w:spacing w:line="440" w:lineRule="exact"/>
        <w:ind w:left="422"/>
        <w:rPr>
          <w:rFonts w:ascii="宋体" w:hAnsi="宋体"/>
          <w:szCs w:val="21"/>
        </w:rPr>
      </w:pPr>
      <w:r>
        <w:rPr>
          <w:rFonts w:hint="eastAsia" w:ascii="宋体" w:hAnsi="宋体"/>
          <w:szCs w:val="21"/>
        </w:rPr>
        <w:t>为招标人不具有独立法人资格的附属机构（单位）；</w:t>
      </w:r>
    </w:p>
    <w:p>
      <w:pPr>
        <w:tabs>
          <w:tab w:val="left" w:pos="0"/>
          <w:tab w:val="left" w:pos="993"/>
        </w:tabs>
        <w:spacing w:line="440" w:lineRule="exact"/>
        <w:ind w:left="422"/>
        <w:rPr>
          <w:rFonts w:ascii="宋体" w:hAnsi="宋体"/>
          <w:szCs w:val="21"/>
        </w:rPr>
      </w:pPr>
      <w:r>
        <w:rPr>
          <w:rFonts w:hint="eastAsia" w:ascii="宋体" w:hAnsi="宋体"/>
          <w:szCs w:val="21"/>
        </w:rPr>
        <w:t>被责令停业或破产状态的；</w:t>
      </w:r>
    </w:p>
    <w:p>
      <w:pPr>
        <w:tabs>
          <w:tab w:val="left" w:pos="0"/>
          <w:tab w:val="left" w:pos="993"/>
        </w:tabs>
        <w:spacing w:line="440" w:lineRule="exact"/>
        <w:ind w:left="422"/>
        <w:rPr>
          <w:rFonts w:ascii="宋体" w:hAnsi="宋体"/>
          <w:szCs w:val="21"/>
        </w:rPr>
      </w:pPr>
      <w:r>
        <w:rPr>
          <w:rFonts w:hint="eastAsia" w:ascii="宋体" w:hAnsi="宋体"/>
          <w:szCs w:val="21"/>
        </w:rPr>
        <w:t>被暂停或取消投标资格的；</w:t>
      </w:r>
    </w:p>
    <w:p>
      <w:pPr>
        <w:tabs>
          <w:tab w:val="left" w:pos="0"/>
          <w:tab w:val="left" w:pos="993"/>
        </w:tabs>
        <w:spacing w:line="440" w:lineRule="exact"/>
        <w:ind w:left="422"/>
        <w:rPr>
          <w:rFonts w:ascii="宋体" w:hAnsi="宋体"/>
          <w:szCs w:val="21"/>
        </w:rPr>
      </w:pPr>
      <w:r>
        <w:rPr>
          <w:rFonts w:hint="eastAsia" w:ascii="宋体" w:hAnsi="宋体"/>
          <w:szCs w:val="21"/>
        </w:rPr>
        <w:t>财产被重组、接管、查封、扣押或冻结的；</w:t>
      </w:r>
    </w:p>
    <w:p>
      <w:pPr>
        <w:tabs>
          <w:tab w:val="left" w:pos="0"/>
          <w:tab w:val="left" w:pos="993"/>
        </w:tabs>
        <w:spacing w:line="440" w:lineRule="exact"/>
        <w:ind w:left="422"/>
        <w:rPr>
          <w:rFonts w:ascii="宋体" w:hAnsi="宋体"/>
          <w:szCs w:val="21"/>
        </w:rPr>
      </w:pPr>
      <w:r>
        <w:rPr>
          <w:rFonts w:hint="eastAsia" w:ascii="宋体" w:hAnsi="宋体"/>
          <w:szCs w:val="21"/>
        </w:rPr>
        <w:t>在最近三年内骗取中选情形的；</w:t>
      </w:r>
    </w:p>
    <w:p>
      <w:pPr>
        <w:tabs>
          <w:tab w:val="left" w:pos="0"/>
          <w:tab w:val="left" w:pos="993"/>
        </w:tabs>
        <w:spacing w:line="440" w:lineRule="exact"/>
        <w:ind w:left="422"/>
        <w:rPr>
          <w:rFonts w:ascii="宋体" w:hAnsi="宋体"/>
          <w:szCs w:val="21"/>
        </w:rPr>
      </w:pPr>
      <w:r>
        <w:rPr>
          <w:rFonts w:hint="eastAsia" w:ascii="宋体" w:hAnsi="宋体"/>
          <w:szCs w:val="21"/>
        </w:rPr>
        <w:t>在最近三年内因严重违反合同约定被解除合同/协议，或取消供应商资格的；</w:t>
      </w:r>
    </w:p>
    <w:p>
      <w:pPr>
        <w:tabs>
          <w:tab w:val="left" w:pos="993"/>
        </w:tabs>
        <w:adjustRightInd w:val="0"/>
        <w:snapToGrid w:val="0"/>
        <w:spacing w:before="60" w:after="60" w:line="360" w:lineRule="exact"/>
        <w:ind w:left="422"/>
        <w:rPr>
          <w:rFonts w:ascii="宋体" w:hAnsi="宋体"/>
          <w:szCs w:val="21"/>
        </w:rPr>
      </w:pPr>
      <w:r>
        <w:rPr>
          <w:rFonts w:hint="eastAsia" w:ascii="宋体" w:hAnsi="宋体"/>
          <w:szCs w:val="21"/>
        </w:rPr>
        <w:t>在最近五年内参与的采购活动中有行贿犯罪记录的；</w:t>
      </w:r>
    </w:p>
    <w:p>
      <w:pPr>
        <w:spacing w:line="480" w:lineRule="exact"/>
        <w:rPr>
          <w:rFonts w:ascii="宋体" w:hAnsi="宋体"/>
          <w:szCs w:val="21"/>
        </w:rPr>
      </w:pPr>
      <w:r>
        <w:rPr>
          <w:rFonts w:hint="eastAsia" w:ascii="宋体" w:hAnsi="宋体"/>
          <w:szCs w:val="21"/>
        </w:rPr>
        <w:t>4、我公司承诺，不是联合体投标。</w:t>
      </w:r>
    </w:p>
    <w:p>
      <w:pPr>
        <w:spacing w:line="480" w:lineRule="exact"/>
        <w:ind w:right="-1"/>
        <w:rPr>
          <w:rFonts w:ascii="宋体" w:hAnsi="宋体" w:cs="宋体"/>
          <w:szCs w:val="21"/>
        </w:rPr>
      </w:pPr>
      <w:r>
        <w:rPr>
          <w:rFonts w:hint="eastAsia" w:ascii="宋体" w:hAnsi="宋体"/>
          <w:szCs w:val="21"/>
        </w:rPr>
        <w:t>5、我公司承诺，</w:t>
      </w:r>
      <w:r>
        <w:rPr>
          <w:rFonts w:hint="eastAsia" w:ascii="宋体" w:hAnsi="宋体" w:cs="宋体"/>
          <w:szCs w:val="21"/>
        </w:rPr>
        <w:t>所提供货物质量必须符合国家相关标准，必须满足本次采购的技术规范要求，若所供货物经产品质量检测机构检测认定质量不合格，造成的损失和后果由我公司负全责</w:t>
      </w:r>
    </w:p>
    <w:p>
      <w:pPr>
        <w:spacing w:line="480" w:lineRule="exact"/>
        <w:ind w:right="-1"/>
        <w:jc w:val="right"/>
        <w:rPr>
          <w:rFonts w:ascii="宋体" w:hAnsi="宋体" w:cs="宋体"/>
          <w:szCs w:val="21"/>
          <w:u w:val="single"/>
        </w:rPr>
      </w:pPr>
      <w:r>
        <w:rPr>
          <w:rFonts w:hint="eastAsia" w:ascii="宋体" w:hAnsi="宋体" w:cs="宋体"/>
          <w:szCs w:val="21"/>
        </w:rPr>
        <w:t>投标人名称（盖单位章）：</w:t>
      </w:r>
    </w:p>
    <w:p>
      <w:pPr>
        <w:spacing w:line="480" w:lineRule="exact"/>
        <w:ind w:right="-1"/>
        <w:jc w:val="right"/>
        <w:rPr>
          <w:rFonts w:ascii="宋体" w:hAnsi="宋体" w:cs="宋体"/>
          <w:szCs w:val="21"/>
          <w:u w:val="single"/>
        </w:rPr>
      </w:pPr>
      <w:r>
        <w:rPr>
          <w:rFonts w:hint="eastAsia" w:ascii="宋体" w:hAnsi="宋体" w:cs="宋体"/>
          <w:szCs w:val="21"/>
        </w:rPr>
        <w:t>法定代表人或授权代表（签字）：</w:t>
      </w:r>
    </w:p>
    <w:p>
      <w:pPr>
        <w:ind w:left="720" w:leftChars="343" w:firstLine="4095" w:firstLineChars="1950"/>
        <w:rPr>
          <w:rFonts w:ascii="宋体" w:hAnsi="宋体" w:cs="宋体"/>
          <w:szCs w:val="21"/>
        </w:rPr>
      </w:pPr>
      <w:r>
        <w:rPr>
          <w:rFonts w:hint="eastAsia" w:ascii="宋体" w:hAnsi="宋体" w:cs="宋体"/>
          <w:szCs w:val="21"/>
        </w:rPr>
        <w:t>年月日</w:t>
      </w:r>
    </w:p>
    <w:p>
      <w:pPr>
        <w:ind w:left="720" w:leftChars="343" w:firstLine="4095" w:firstLineChars="1950"/>
        <w:rPr>
          <w:rFonts w:ascii="宋体" w:hAnsi="宋体" w:cs="宋体"/>
          <w:szCs w:val="21"/>
        </w:rPr>
      </w:pPr>
      <w:r>
        <w:rPr>
          <w:rFonts w:hint="eastAsia" w:ascii="宋体" w:hAnsi="宋体" w:cs="宋体"/>
          <w:szCs w:val="21"/>
        </w:rPr>
        <w:br w:type="page"/>
      </w:r>
    </w:p>
    <w:p>
      <w:pPr>
        <w:ind w:left="720" w:leftChars="343" w:firstLine="4095" w:firstLineChars="1950"/>
        <w:rPr>
          <w:rFonts w:ascii="宋体" w:hAnsi="宋体" w:cs="宋体"/>
          <w:szCs w:val="21"/>
        </w:rPr>
      </w:pPr>
    </w:p>
    <w:p>
      <w:pPr>
        <w:pStyle w:val="35"/>
        <w:numPr>
          <w:ilvl w:val="0"/>
          <w:numId w:val="12"/>
        </w:numPr>
        <w:tabs>
          <w:tab w:val="left" w:pos="588"/>
        </w:tabs>
        <w:snapToGrid w:val="0"/>
        <w:spacing w:before="120" w:after="120" w:line="440" w:lineRule="exact"/>
        <w:jc w:val="left"/>
        <w:rPr>
          <w:rFonts w:ascii="宋体" w:hAnsi="宋体"/>
          <w:sz w:val="24"/>
          <w:szCs w:val="24"/>
        </w:rPr>
      </w:pPr>
      <w:bookmarkStart w:id="866" w:name="_Toc28008"/>
      <w:bookmarkStart w:id="867" w:name="_Toc12017968"/>
      <w:r>
        <w:rPr>
          <w:rFonts w:hint="eastAsia" w:ascii="宋体" w:hAnsi="宋体"/>
          <w:sz w:val="24"/>
          <w:szCs w:val="24"/>
        </w:rPr>
        <w:t>商务技术证明文件</w:t>
      </w:r>
      <w:bookmarkEnd w:id="866"/>
      <w:bookmarkEnd w:id="867"/>
    </w:p>
    <w:p>
      <w:pPr>
        <w:ind w:firstLine="525" w:firstLineChars="250"/>
        <w:rPr>
          <w:rFonts w:ascii="宋体" w:hAnsi="宋体"/>
          <w:szCs w:val="21"/>
        </w:rPr>
      </w:pPr>
      <w:r>
        <w:rPr>
          <w:rFonts w:hint="eastAsia" w:ascii="宋体" w:hAnsi="宋体"/>
          <w:szCs w:val="21"/>
        </w:rPr>
        <w:t>包含但不限于以下内容，本条对格式及相关内容不作具体要求，请投标人结合竞争性磋商文件</w:t>
      </w:r>
      <w:r>
        <w:rPr>
          <w:rFonts w:ascii="宋体" w:hAnsi="宋体"/>
          <w:szCs w:val="21"/>
        </w:rPr>
        <w:t>及</w:t>
      </w:r>
      <w:r>
        <w:rPr>
          <w:rFonts w:hint="eastAsia" w:ascii="宋体" w:hAnsi="宋体"/>
          <w:szCs w:val="21"/>
        </w:rPr>
        <w:t>评选办法的相关内容自行编写。</w:t>
      </w:r>
    </w:p>
    <w:p>
      <w:pPr>
        <w:numPr>
          <w:ilvl w:val="0"/>
          <w:numId w:val="18"/>
        </w:numPr>
        <w:rPr>
          <w:rFonts w:ascii="宋体" w:hAnsi="宋体" w:cs="宋体"/>
          <w:color w:val="000000"/>
          <w:kern w:val="0"/>
          <w:szCs w:val="21"/>
        </w:rPr>
      </w:pPr>
      <w:r>
        <w:rPr>
          <w:rFonts w:hint="eastAsia" w:ascii="宋体" w:hAnsi="宋体" w:cs="宋体"/>
          <w:color w:val="000000"/>
          <w:kern w:val="0"/>
          <w:szCs w:val="21"/>
        </w:rPr>
        <w:t>公司资质（投标人</w:t>
      </w:r>
      <w:r>
        <w:rPr>
          <w:rFonts w:ascii="宋体" w:hAnsi="宋体" w:cs="宋体"/>
          <w:color w:val="000000"/>
          <w:kern w:val="0"/>
          <w:szCs w:val="21"/>
        </w:rPr>
        <w:t>结合详细评审打分办法，自行编写）</w:t>
      </w:r>
    </w:p>
    <w:p>
      <w:pPr>
        <w:numPr>
          <w:ilvl w:val="0"/>
          <w:numId w:val="18"/>
        </w:numPr>
        <w:rPr>
          <w:rFonts w:ascii="宋体" w:hAnsi="宋体" w:cs="宋体"/>
          <w:color w:val="000000"/>
          <w:kern w:val="0"/>
          <w:szCs w:val="21"/>
        </w:rPr>
      </w:pPr>
      <w:r>
        <w:rPr>
          <w:rFonts w:hint="eastAsia" w:ascii="宋体" w:hAnsi="宋体" w:cs="宋体"/>
          <w:color w:val="000000"/>
          <w:kern w:val="0"/>
          <w:szCs w:val="21"/>
        </w:rPr>
        <w:t>资信等级（投标人</w:t>
      </w:r>
      <w:r>
        <w:rPr>
          <w:rFonts w:ascii="宋体" w:hAnsi="宋体" w:cs="宋体"/>
          <w:color w:val="000000"/>
          <w:kern w:val="0"/>
          <w:szCs w:val="21"/>
        </w:rPr>
        <w:t>结合详细评审打分办法，自行编写）</w:t>
      </w:r>
    </w:p>
    <w:p>
      <w:pPr>
        <w:numPr>
          <w:ilvl w:val="0"/>
          <w:numId w:val="18"/>
        </w:numPr>
        <w:rPr>
          <w:rFonts w:ascii="宋体" w:hAnsi="宋体" w:cs="宋体"/>
          <w:color w:val="000000"/>
          <w:kern w:val="0"/>
          <w:szCs w:val="21"/>
        </w:rPr>
      </w:pPr>
      <w:r>
        <w:rPr>
          <w:rFonts w:hint="eastAsia" w:ascii="宋体" w:hAnsi="宋体" w:cs="宋体"/>
          <w:color w:val="000000"/>
          <w:kern w:val="0"/>
          <w:szCs w:val="21"/>
        </w:rPr>
        <w:t>技术参数响应（投标人</w:t>
      </w:r>
      <w:r>
        <w:rPr>
          <w:rFonts w:ascii="宋体" w:hAnsi="宋体" w:cs="宋体"/>
          <w:color w:val="000000"/>
          <w:kern w:val="0"/>
          <w:szCs w:val="21"/>
        </w:rPr>
        <w:t>结合详细评审打分办法，自行编写）</w:t>
      </w:r>
    </w:p>
    <w:p>
      <w:pPr>
        <w:numPr>
          <w:ilvl w:val="0"/>
          <w:numId w:val="18"/>
        </w:numPr>
        <w:rPr>
          <w:rFonts w:ascii="宋体" w:hAnsi="宋体" w:cs="宋体"/>
          <w:color w:val="000000"/>
          <w:kern w:val="0"/>
          <w:szCs w:val="21"/>
        </w:rPr>
      </w:pPr>
      <w:r>
        <w:rPr>
          <w:rFonts w:hint="eastAsia" w:ascii="宋体" w:hAnsi="宋体" w:cs="宋体"/>
          <w:color w:val="000000"/>
          <w:kern w:val="0"/>
          <w:szCs w:val="21"/>
        </w:rPr>
        <w:t>施工组织设计（投标人</w:t>
      </w:r>
      <w:r>
        <w:rPr>
          <w:rFonts w:ascii="宋体" w:hAnsi="宋体" w:cs="宋体"/>
          <w:color w:val="000000"/>
          <w:kern w:val="0"/>
          <w:szCs w:val="21"/>
        </w:rPr>
        <w:t>结合详细评审打分办法，自行编写）</w:t>
      </w:r>
    </w:p>
    <w:p>
      <w:pPr>
        <w:numPr>
          <w:ilvl w:val="0"/>
          <w:numId w:val="18"/>
        </w:numPr>
        <w:rPr>
          <w:rFonts w:ascii="宋体" w:hAnsi="宋体" w:cs="宋体"/>
          <w:color w:val="000000"/>
          <w:kern w:val="0"/>
          <w:szCs w:val="21"/>
        </w:rPr>
      </w:pPr>
      <w:r>
        <w:rPr>
          <w:rFonts w:hint="eastAsia" w:ascii="宋体" w:hAnsi="宋体" w:cs="宋体"/>
          <w:color w:val="000000"/>
          <w:kern w:val="0"/>
          <w:szCs w:val="21"/>
        </w:rPr>
        <w:t>安全生产及文明施工（投标人</w:t>
      </w:r>
      <w:r>
        <w:rPr>
          <w:rFonts w:ascii="宋体" w:hAnsi="宋体" w:cs="宋体"/>
          <w:color w:val="000000"/>
          <w:kern w:val="0"/>
          <w:szCs w:val="21"/>
        </w:rPr>
        <w:t>结合详细评审打分办法，自行编写）</w:t>
      </w:r>
    </w:p>
    <w:p>
      <w:pPr>
        <w:pStyle w:val="47"/>
        <w:widowControl/>
        <w:ind w:left="885" w:firstLine="0" w:firstLineChars="0"/>
        <w:jc w:val="left"/>
        <w:rPr>
          <w:rFonts w:ascii="宋体" w:hAnsi="宋体" w:cs="宋体"/>
          <w:szCs w:val="21"/>
        </w:rPr>
      </w:pPr>
      <w:r>
        <w:rPr>
          <w:rFonts w:hint="eastAsia" w:ascii="宋体" w:hAnsi="宋体" w:cs="宋体"/>
          <w:szCs w:val="21"/>
        </w:rPr>
        <w:t>6、   培训及售后服务（投标人结合详细评审打分办法，自行编写）</w:t>
      </w:r>
    </w:p>
    <w:sectPr>
      <w:pgSz w:w="11906" w:h="16838"/>
      <w:pgMar w:top="1418"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6604677"/>
    </w:sdtPr>
    <w:sdtContent>
      <w:p>
        <w:pPr>
          <w:pStyle w:val="26"/>
          <w:jc w:val="center"/>
        </w:pPr>
        <w:r>
          <w:rPr>
            <w:rFonts w:ascii="宋体" w:hAnsi="宋体"/>
          </w:rPr>
          <w:fldChar w:fldCharType="begin"/>
        </w:r>
        <w:r>
          <w:rPr>
            <w:rFonts w:ascii="宋体" w:hAnsi="宋体"/>
          </w:rPr>
          <w:instrText xml:space="preserve">PAGE   \* MERGEFORMAT</w:instrText>
        </w:r>
        <w:r>
          <w:rPr>
            <w:rFonts w:ascii="宋体" w:hAnsi="宋体"/>
          </w:rPr>
          <w:fldChar w:fldCharType="separate"/>
        </w:r>
        <w:r>
          <w:rPr>
            <w:rFonts w:ascii="宋体" w:hAnsi="宋体"/>
            <w:lang w:val="zh-CN"/>
          </w:rPr>
          <w:t>3</w:t>
        </w:r>
        <w:r>
          <w:rPr>
            <w:rFonts w:ascii="宋体" w:hAnsi="宋体"/>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543835"/>
    </w:sdtPr>
    <w:sdtContent>
      <w:p>
        <w:pPr>
          <w:pStyle w:val="26"/>
          <w:jc w:val="center"/>
        </w:pPr>
        <w:r>
          <w:rPr>
            <w:rFonts w:ascii="宋体" w:hAnsi="宋体"/>
          </w:rPr>
          <w:fldChar w:fldCharType="begin"/>
        </w:r>
        <w:r>
          <w:rPr>
            <w:rFonts w:ascii="宋体" w:hAnsi="宋体"/>
          </w:rPr>
          <w:instrText xml:space="preserve">PAGE   \* MERGEFORMAT</w:instrText>
        </w:r>
        <w:r>
          <w:rPr>
            <w:rFonts w:ascii="宋体" w:hAnsi="宋体"/>
          </w:rPr>
          <w:fldChar w:fldCharType="separate"/>
        </w:r>
        <w:r>
          <w:rPr>
            <w:rFonts w:ascii="宋体" w:hAnsi="宋体"/>
            <w:lang w:val="zh-CN"/>
          </w:rPr>
          <w:t>19</w:t>
        </w:r>
        <w:r>
          <w:rPr>
            <w:rFonts w:ascii="宋体" w:hAnsi="宋体"/>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543836"/>
    </w:sdtPr>
    <w:sdtContent>
      <w:p>
        <w:pPr>
          <w:pStyle w:val="26"/>
          <w:jc w:val="center"/>
        </w:pPr>
        <w:r>
          <w:fldChar w:fldCharType="begin"/>
        </w:r>
        <w:r>
          <w:instrText xml:space="preserve">PAGE   \* MERGEFORMAT</w:instrText>
        </w:r>
        <w:r>
          <w:fldChar w:fldCharType="separate"/>
        </w:r>
        <w:r>
          <w:rPr>
            <w:lang w:val="zh-CN"/>
          </w:rPr>
          <w:t>4</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rPr>
        <w:rFonts w:ascii="宋体" w:hAnsi="宋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rPr>
        <w:rFonts w:ascii="宋体" w:hAnsi="宋体"/>
      </w:rPr>
    </w:pPr>
    <w:r>
      <w:rPr>
        <w:rFonts w:hint="eastAsia" w:ascii="宋体" w:hAnsi="宋体"/>
      </w:rPr>
      <w:t>V1.0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C020D"/>
    <w:multiLevelType w:val="multilevel"/>
    <w:tmpl w:val="05CC020D"/>
    <w:lvl w:ilvl="0" w:tentative="0">
      <w:start w:val="1"/>
      <w:numFmt w:val="decimal"/>
      <w:lvlText w:val="%1."/>
      <w:lvlJc w:val="left"/>
      <w:pPr>
        <w:ind w:left="785" w:hanging="360"/>
      </w:pPr>
      <w:rPr>
        <w:rFonts w:hint="default"/>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
    <w:nsid w:val="0F945837"/>
    <w:multiLevelType w:val="multilevel"/>
    <w:tmpl w:val="0F945837"/>
    <w:lvl w:ilvl="0" w:tentative="0">
      <w:start w:val="1"/>
      <w:numFmt w:val="decimal"/>
      <w:lvlText w:val="（%1）"/>
      <w:lvlJc w:val="left"/>
      <w:pPr>
        <w:tabs>
          <w:tab w:val="left" w:pos="1146"/>
        </w:tabs>
        <w:ind w:left="1146" w:hanging="720"/>
      </w:pPr>
      <w:rPr>
        <w:rFonts w:hint="default"/>
        <w:color w:val="auto"/>
        <w:lang w:val="en-US"/>
      </w:rPr>
    </w:lvl>
    <w:lvl w:ilvl="1" w:tentative="0">
      <w:start w:val="1"/>
      <w:numFmt w:val="lowerLetter"/>
      <w:lvlText w:val="%2)"/>
      <w:lvlJc w:val="left"/>
      <w:pPr>
        <w:tabs>
          <w:tab w:val="left" w:pos="844"/>
        </w:tabs>
        <w:ind w:left="844" w:hanging="420"/>
      </w:pPr>
    </w:lvl>
    <w:lvl w:ilvl="2" w:tentative="0">
      <w:start w:val="1"/>
      <w:numFmt w:val="lowerRoman"/>
      <w:lvlText w:val="%3."/>
      <w:lvlJc w:val="right"/>
      <w:pPr>
        <w:tabs>
          <w:tab w:val="left" w:pos="1264"/>
        </w:tabs>
        <w:ind w:left="1264" w:hanging="420"/>
      </w:pPr>
    </w:lvl>
    <w:lvl w:ilvl="3" w:tentative="0">
      <w:start w:val="1"/>
      <w:numFmt w:val="decimal"/>
      <w:lvlText w:val="%4."/>
      <w:lvlJc w:val="left"/>
      <w:pPr>
        <w:tabs>
          <w:tab w:val="left" w:pos="1684"/>
        </w:tabs>
        <w:ind w:left="1684" w:hanging="420"/>
      </w:pPr>
    </w:lvl>
    <w:lvl w:ilvl="4" w:tentative="0">
      <w:start w:val="1"/>
      <w:numFmt w:val="lowerLetter"/>
      <w:lvlText w:val="%5)"/>
      <w:lvlJc w:val="left"/>
      <w:pPr>
        <w:tabs>
          <w:tab w:val="left" w:pos="2104"/>
        </w:tabs>
        <w:ind w:left="2104" w:hanging="420"/>
      </w:pPr>
    </w:lvl>
    <w:lvl w:ilvl="5" w:tentative="0">
      <w:start w:val="1"/>
      <w:numFmt w:val="lowerRoman"/>
      <w:lvlText w:val="%6."/>
      <w:lvlJc w:val="right"/>
      <w:pPr>
        <w:tabs>
          <w:tab w:val="left" w:pos="2524"/>
        </w:tabs>
        <w:ind w:left="2524" w:hanging="420"/>
      </w:pPr>
    </w:lvl>
    <w:lvl w:ilvl="6" w:tentative="0">
      <w:start w:val="1"/>
      <w:numFmt w:val="decimal"/>
      <w:lvlText w:val="%7."/>
      <w:lvlJc w:val="left"/>
      <w:pPr>
        <w:tabs>
          <w:tab w:val="left" w:pos="2944"/>
        </w:tabs>
        <w:ind w:left="2944" w:hanging="420"/>
      </w:pPr>
    </w:lvl>
    <w:lvl w:ilvl="7" w:tentative="0">
      <w:start w:val="1"/>
      <w:numFmt w:val="lowerLetter"/>
      <w:lvlText w:val="%8)"/>
      <w:lvlJc w:val="left"/>
      <w:pPr>
        <w:tabs>
          <w:tab w:val="left" w:pos="3364"/>
        </w:tabs>
        <w:ind w:left="3364" w:hanging="420"/>
      </w:pPr>
    </w:lvl>
    <w:lvl w:ilvl="8" w:tentative="0">
      <w:start w:val="1"/>
      <w:numFmt w:val="lowerRoman"/>
      <w:lvlText w:val="%9."/>
      <w:lvlJc w:val="right"/>
      <w:pPr>
        <w:tabs>
          <w:tab w:val="left" w:pos="3784"/>
        </w:tabs>
        <w:ind w:left="3784" w:hanging="420"/>
      </w:pPr>
    </w:lvl>
  </w:abstractNum>
  <w:abstractNum w:abstractNumId="2">
    <w:nsid w:val="115B7682"/>
    <w:multiLevelType w:val="multilevel"/>
    <w:tmpl w:val="115B7682"/>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67D30CE"/>
    <w:multiLevelType w:val="multilevel"/>
    <w:tmpl w:val="267D30CE"/>
    <w:lvl w:ilvl="0" w:tentative="0">
      <w:start w:val="1"/>
      <w:numFmt w:val="decimal"/>
      <w:lvlText w:val="%1."/>
      <w:lvlJc w:val="left"/>
      <w:pPr>
        <w:ind w:left="360" w:hanging="360"/>
      </w:pPr>
      <w:rPr>
        <w:rFonts w:hint="default"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C536561"/>
    <w:multiLevelType w:val="singleLevel"/>
    <w:tmpl w:val="2C536561"/>
    <w:lvl w:ilvl="0" w:tentative="0">
      <w:start w:val="1"/>
      <w:numFmt w:val="decimal"/>
      <w:suff w:val="nothing"/>
      <w:lvlText w:val="（%1）"/>
      <w:lvlJc w:val="left"/>
    </w:lvl>
  </w:abstractNum>
  <w:abstractNum w:abstractNumId="5">
    <w:nsid w:val="35C200DD"/>
    <w:multiLevelType w:val="multilevel"/>
    <w:tmpl w:val="35C200DD"/>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asciiTheme="minorEastAsia" w:hAnsiTheme="minorEastAsia" w:eastAsiaTheme="minor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
    <w:nsid w:val="45DD010F"/>
    <w:multiLevelType w:val="multilevel"/>
    <w:tmpl w:val="45DD010F"/>
    <w:lvl w:ilvl="0" w:tentative="0">
      <w:start w:val="1"/>
      <w:numFmt w:val="decimal"/>
      <w:lvlText w:val="%1、"/>
      <w:lvlJc w:val="left"/>
      <w:pPr>
        <w:ind w:left="885" w:hanging="360"/>
      </w:pPr>
      <w:rPr>
        <w:rFonts w:hint="default"/>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7">
    <w:nsid w:val="4AC775F4"/>
    <w:multiLevelType w:val="multilevel"/>
    <w:tmpl w:val="4AC775F4"/>
    <w:lvl w:ilvl="0" w:tentative="0">
      <w:start w:val="1"/>
      <w:numFmt w:val="decimal"/>
      <w:lvlText w:val="%1."/>
      <w:lvlJc w:val="left"/>
      <w:pPr>
        <w:ind w:left="425" w:hanging="425"/>
      </w:pPr>
      <w:rPr>
        <w:rFonts w:hint="eastAsia" w:ascii="宋体" w:hAnsi="宋体" w:eastAsia="宋体"/>
        <w:b/>
        <w:sz w:val="28"/>
      </w:rPr>
    </w:lvl>
    <w:lvl w:ilvl="1" w:tentative="0">
      <w:start w:val="1"/>
      <w:numFmt w:val="decimal"/>
      <w:lvlText w:val="%1.%2"/>
      <w:lvlJc w:val="left"/>
      <w:pPr>
        <w:ind w:left="850" w:hanging="425"/>
      </w:pPr>
      <w:rPr>
        <w:rFonts w:hint="eastAsia" w:eastAsia="宋体"/>
        <w:b/>
        <w:i w:val="0"/>
        <w:sz w:val="24"/>
      </w:rPr>
    </w:lvl>
    <w:lvl w:ilvl="2" w:tentative="0">
      <w:start w:val="1"/>
      <w:numFmt w:val="decimal"/>
      <w:lvlText w:val="%1.%2.%3"/>
      <w:lvlJc w:val="left"/>
      <w:pPr>
        <w:ind w:left="1275" w:hanging="425"/>
      </w:pPr>
      <w:rPr>
        <w:rFonts w:hint="eastAsia" w:eastAsia="宋体"/>
        <w:b w:val="0"/>
        <w:i w:val="0"/>
        <w:sz w:val="21"/>
      </w:rPr>
    </w:lvl>
    <w:lvl w:ilvl="3" w:tentative="0">
      <w:start w:val="1"/>
      <w:numFmt w:val="decimal"/>
      <w:lvlText w:val="%1.%2.%3.%4"/>
      <w:lvlJc w:val="left"/>
      <w:pPr>
        <w:ind w:left="1700" w:hanging="425"/>
      </w:pPr>
      <w:rPr>
        <w:rFonts w:hint="eastAsia"/>
      </w:rPr>
    </w:lvl>
    <w:lvl w:ilvl="4" w:tentative="0">
      <w:start w:val="1"/>
      <w:numFmt w:val="decimal"/>
      <w:lvlText w:val="%1.%2.%3.%4.%5"/>
      <w:lvlJc w:val="left"/>
      <w:pPr>
        <w:ind w:left="2125" w:hanging="425"/>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8">
    <w:nsid w:val="4DAC762D"/>
    <w:multiLevelType w:val="multilevel"/>
    <w:tmpl w:val="4DAC762D"/>
    <w:lvl w:ilvl="0" w:tentative="0">
      <w:start w:val="1"/>
      <w:numFmt w:val="decimal"/>
      <w:lvlText w:val="%1"/>
      <w:lvlJc w:val="left"/>
      <w:pPr>
        <w:tabs>
          <w:tab w:val="left" w:pos="432"/>
        </w:tabs>
        <w:ind w:left="432" w:hanging="432"/>
      </w:pPr>
      <w:rPr>
        <w:rFonts w:hint="eastAsia"/>
      </w:rPr>
    </w:lvl>
    <w:lvl w:ilvl="1" w:tentative="0">
      <w:start w:val="1"/>
      <w:numFmt w:val="decimal"/>
      <w:pStyle w:val="78"/>
      <w:lvlText w:val="%1.%2"/>
      <w:lvlJc w:val="left"/>
      <w:pPr>
        <w:tabs>
          <w:tab w:val="left" w:pos="576"/>
        </w:tabs>
        <w:ind w:left="576" w:hanging="576"/>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9">
    <w:nsid w:val="5A3FC574"/>
    <w:multiLevelType w:val="singleLevel"/>
    <w:tmpl w:val="5A3FC574"/>
    <w:lvl w:ilvl="0" w:tentative="0">
      <w:start w:val="1"/>
      <w:numFmt w:val="decimal"/>
      <w:suff w:val="nothing"/>
      <w:lvlText w:val="%1、"/>
      <w:lvlJc w:val="left"/>
    </w:lvl>
  </w:abstractNum>
  <w:abstractNum w:abstractNumId="10">
    <w:nsid w:val="5A5F044F"/>
    <w:multiLevelType w:val="singleLevel"/>
    <w:tmpl w:val="5A5F044F"/>
    <w:lvl w:ilvl="0" w:tentative="0">
      <w:start w:val="6"/>
      <w:numFmt w:val="chineseCounting"/>
      <w:suff w:val="space"/>
      <w:lvlText w:val="第%1章"/>
      <w:lvlJc w:val="left"/>
    </w:lvl>
  </w:abstractNum>
  <w:abstractNum w:abstractNumId="11">
    <w:nsid w:val="5D32087B"/>
    <w:multiLevelType w:val="multilevel"/>
    <w:tmpl w:val="5D32087B"/>
    <w:lvl w:ilvl="0" w:tentative="0">
      <w:start w:val="1"/>
      <w:numFmt w:val="decimal"/>
      <w:lvlText w:val="（%1）"/>
      <w:lvlJc w:val="left"/>
      <w:pPr>
        <w:tabs>
          <w:tab w:val="left" w:pos="1142"/>
        </w:tabs>
        <w:ind w:left="1142" w:hanging="7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63DE7ADE"/>
    <w:multiLevelType w:val="multilevel"/>
    <w:tmpl w:val="63DE7ADE"/>
    <w:lvl w:ilvl="0" w:tentative="0">
      <w:start w:val="1"/>
      <w:numFmt w:val="decimal"/>
      <w:lvlText w:val="%1."/>
      <w:lvlJc w:val="left"/>
      <w:pPr>
        <w:ind w:left="425" w:hanging="425"/>
      </w:pPr>
      <w:rPr>
        <w:rFonts w:hint="eastAsia"/>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3">
    <w:nsid w:val="64FB4BFD"/>
    <w:multiLevelType w:val="multilevel"/>
    <w:tmpl w:val="64FB4BF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669D69EA"/>
    <w:multiLevelType w:val="multilevel"/>
    <w:tmpl w:val="669D69EA"/>
    <w:lvl w:ilvl="0" w:tentative="0">
      <w:start w:val="1"/>
      <w:numFmt w:val="decimal"/>
      <w:lvlText w:val="%1."/>
      <w:lvlJc w:val="left"/>
      <w:pPr>
        <w:ind w:left="840" w:hanging="420"/>
      </w:pPr>
      <w:rPr>
        <w:rFonts w:hint="eastAsia" w:eastAsia="仿宋_GB2312"/>
        <w:color w:val="auto"/>
        <w:sz w:val="28"/>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5">
    <w:nsid w:val="7B00629D"/>
    <w:multiLevelType w:val="singleLevel"/>
    <w:tmpl w:val="7B00629D"/>
    <w:lvl w:ilvl="0" w:tentative="0">
      <w:start w:val="1"/>
      <w:numFmt w:val="decimal"/>
      <w:lvlText w:val="%1."/>
      <w:lvlJc w:val="left"/>
      <w:pPr>
        <w:ind w:left="425" w:hanging="425"/>
      </w:pPr>
      <w:rPr>
        <w:rFonts w:hint="default"/>
      </w:rPr>
    </w:lvl>
  </w:abstractNum>
  <w:abstractNum w:abstractNumId="16">
    <w:nsid w:val="7D335F99"/>
    <w:multiLevelType w:val="multilevel"/>
    <w:tmpl w:val="7D335F99"/>
    <w:lvl w:ilvl="0" w:tentative="0">
      <w:start w:val="1"/>
      <w:numFmt w:val="japaneseCounting"/>
      <w:lvlText w:val="第%1章"/>
      <w:lvlJc w:val="left"/>
      <w:pPr>
        <w:ind w:left="732" w:hanging="732"/>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7FA36634"/>
    <w:multiLevelType w:val="multilevel"/>
    <w:tmpl w:val="7FA36634"/>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8"/>
  </w:num>
  <w:num w:numId="2">
    <w:abstractNumId w:val="5"/>
  </w:num>
  <w:num w:numId="3">
    <w:abstractNumId w:val="11"/>
  </w:num>
  <w:num w:numId="4">
    <w:abstractNumId w:val="16"/>
  </w:num>
  <w:num w:numId="5">
    <w:abstractNumId w:val="4"/>
  </w:num>
  <w:num w:numId="6">
    <w:abstractNumId w:val="7"/>
  </w:num>
  <w:num w:numId="7">
    <w:abstractNumId w:val="1"/>
  </w:num>
  <w:num w:numId="8">
    <w:abstractNumId w:val="13"/>
  </w:num>
  <w:num w:numId="9">
    <w:abstractNumId w:val="0"/>
  </w:num>
  <w:num w:numId="10">
    <w:abstractNumId w:val="17"/>
  </w:num>
  <w:num w:numId="11">
    <w:abstractNumId w:val="10"/>
  </w:num>
  <w:num w:numId="12">
    <w:abstractNumId w:val="12"/>
  </w:num>
  <w:num w:numId="13">
    <w:abstractNumId w:val="14"/>
  </w:num>
  <w:num w:numId="14">
    <w:abstractNumId w:val="2"/>
  </w:num>
  <w:num w:numId="15">
    <w:abstractNumId w:val="3"/>
  </w:num>
  <w:num w:numId="16">
    <w:abstractNumId w:val="15"/>
  </w:num>
  <w:num w:numId="17">
    <w:abstractNumId w:val="9"/>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93D"/>
    <w:rsid w:val="00001213"/>
    <w:rsid w:val="00001D14"/>
    <w:rsid w:val="00004907"/>
    <w:rsid w:val="00005869"/>
    <w:rsid w:val="0000597B"/>
    <w:rsid w:val="00010968"/>
    <w:rsid w:val="00016CB3"/>
    <w:rsid w:val="00020D9C"/>
    <w:rsid w:val="0002129D"/>
    <w:rsid w:val="000215BC"/>
    <w:rsid w:val="00021A11"/>
    <w:rsid w:val="0002398D"/>
    <w:rsid w:val="0002468F"/>
    <w:rsid w:val="00027253"/>
    <w:rsid w:val="00027794"/>
    <w:rsid w:val="00033ED9"/>
    <w:rsid w:val="000353A0"/>
    <w:rsid w:val="0003775A"/>
    <w:rsid w:val="0004206C"/>
    <w:rsid w:val="0004255D"/>
    <w:rsid w:val="000445C6"/>
    <w:rsid w:val="00045383"/>
    <w:rsid w:val="0004675D"/>
    <w:rsid w:val="00047CB9"/>
    <w:rsid w:val="00047E9C"/>
    <w:rsid w:val="000507FE"/>
    <w:rsid w:val="00051CBD"/>
    <w:rsid w:val="000560BC"/>
    <w:rsid w:val="000575D6"/>
    <w:rsid w:val="00060279"/>
    <w:rsid w:val="0006029F"/>
    <w:rsid w:val="00061B23"/>
    <w:rsid w:val="00062473"/>
    <w:rsid w:val="00062A74"/>
    <w:rsid w:val="00063079"/>
    <w:rsid w:val="00073CAE"/>
    <w:rsid w:val="00073E0B"/>
    <w:rsid w:val="00077993"/>
    <w:rsid w:val="00081C20"/>
    <w:rsid w:val="0008220C"/>
    <w:rsid w:val="00086C91"/>
    <w:rsid w:val="000901AA"/>
    <w:rsid w:val="0009041E"/>
    <w:rsid w:val="00091A8A"/>
    <w:rsid w:val="00092670"/>
    <w:rsid w:val="0009303E"/>
    <w:rsid w:val="00094678"/>
    <w:rsid w:val="00094FFA"/>
    <w:rsid w:val="00096BF6"/>
    <w:rsid w:val="000975BF"/>
    <w:rsid w:val="000A0EF5"/>
    <w:rsid w:val="000A1448"/>
    <w:rsid w:val="000A2258"/>
    <w:rsid w:val="000A6869"/>
    <w:rsid w:val="000A71E6"/>
    <w:rsid w:val="000B182C"/>
    <w:rsid w:val="000B256E"/>
    <w:rsid w:val="000B55EC"/>
    <w:rsid w:val="000B6EB8"/>
    <w:rsid w:val="000B731B"/>
    <w:rsid w:val="000C09BF"/>
    <w:rsid w:val="000C1E9B"/>
    <w:rsid w:val="000C244C"/>
    <w:rsid w:val="000C37EF"/>
    <w:rsid w:val="000C4D25"/>
    <w:rsid w:val="000D07DA"/>
    <w:rsid w:val="000D090B"/>
    <w:rsid w:val="000D2C2A"/>
    <w:rsid w:val="000D43D9"/>
    <w:rsid w:val="000D627D"/>
    <w:rsid w:val="000E045B"/>
    <w:rsid w:val="000E1C06"/>
    <w:rsid w:val="000E28EF"/>
    <w:rsid w:val="000E2DD2"/>
    <w:rsid w:val="000E4B58"/>
    <w:rsid w:val="000E5F8C"/>
    <w:rsid w:val="000E65C0"/>
    <w:rsid w:val="000E68A1"/>
    <w:rsid w:val="000F0928"/>
    <w:rsid w:val="000F1EB2"/>
    <w:rsid w:val="000F6AD7"/>
    <w:rsid w:val="000F6C5A"/>
    <w:rsid w:val="00102BE9"/>
    <w:rsid w:val="00104246"/>
    <w:rsid w:val="001051DB"/>
    <w:rsid w:val="001070B7"/>
    <w:rsid w:val="00107748"/>
    <w:rsid w:val="00107807"/>
    <w:rsid w:val="00107E05"/>
    <w:rsid w:val="00110A63"/>
    <w:rsid w:val="001112C1"/>
    <w:rsid w:val="001137C9"/>
    <w:rsid w:val="001162FF"/>
    <w:rsid w:val="00120CA5"/>
    <w:rsid w:val="00124DF0"/>
    <w:rsid w:val="00126F29"/>
    <w:rsid w:val="001306E5"/>
    <w:rsid w:val="0013604E"/>
    <w:rsid w:val="00136343"/>
    <w:rsid w:val="00141291"/>
    <w:rsid w:val="001413DE"/>
    <w:rsid w:val="00144711"/>
    <w:rsid w:val="001464EC"/>
    <w:rsid w:val="0014655E"/>
    <w:rsid w:val="001476AF"/>
    <w:rsid w:val="001521DF"/>
    <w:rsid w:val="001558A9"/>
    <w:rsid w:val="001558E8"/>
    <w:rsid w:val="001559C5"/>
    <w:rsid w:val="00156AD9"/>
    <w:rsid w:val="001571D8"/>
    <w:rsid w:val="00162CCC"/>
    <w:rsid w:val="00166895"/>
    <w:rsid w:val="001712B8"/>
    <w:rsid w:val="00172A27"/>
    <w:rsid w:val="00173C41"/>
    <w:rsid w:val="00174F8F"/>
    <w:rsid w:val="00176386"/>
    <w:rsid w:val="00180FCE"/>
    <w:rsid w:val="00182766"/>
    <w:rsid w:val="001830EA"/>
    <w:rsid w:val="001831BC"/>
    <w:rsid w:val="001845D4"/>
    <w:rsid w:val="001848F1"/>
    <w:rsid w:val="00184F2C"/>
    <w:rsid w:val="001851E3"/>
    <w:rsid w:val="00186411"/>
    <w:rsid w:val="00186424"/>
    <w:rsid w:val="0018646D"/>
    <w:rsid w:val="00193C2A"/>
    <w:rsid w:val="00195147"/>
    <w:rsid w:val="00195240"/>
    <w:rsid w:val="00196397"/>
    <w:rsid w:val="001A3E60"/>
    <w:rsid w:val="001A565A"/>
    <w:rsid w:val="001A7B9F"/>
    <w:rsid w:val="001A7C37"/>
    <w:rsid w:val="001B0424"/>
    <w:rsid w:val="001B1E47"/>
    <w:rsid w:val="001B2099"/>
    <w:rsid w:val="001B2883"/>
    <w:rsid w:val="001B3F0F"/>
    <w:rsid w:val="001B79BF"/>
    <w:rsid w:val="001C162C"/>
    <w:rsid w:val="001C1E3D"/>
    <w:rsid w:val="001C22E3"/>
    <w:rsid w:val="001C2649"/>
    <w:rsid w:val="001C2B03"/>
    <w:rsid w:val="001C3F5C"/>
    <w:rsid w:val="001C4A6F"/>
    <w:rsid w:val="001C5464"/>
    <w:rsid w:val="001C560E"/>
    <w:rsid w:val="001C59FC"/>
    <w:rsid w:val="001C5D49"/>
    <w:rsid w:val="001C5DBC"/>
    <w:rsid w:val="001C715D"/>
    <w:rsid w:val="001D0DDC"/>
    <w:rsid w:val="001D1275"/>
    <w:rsid w:val="001D201F"/>
    <w:rsid w:val="001D433D"/>
    <w:rsid w:val="001D4DB5"/>
    <w:rsid w:val="001D618A"/>
    <w:rsid w:val="001D6D30"/>
    <w:rsid w:val="001E0048"/>
    <w:rsid w:val="001E06A7"/>
    <w:rsid w:val="001E15DC"/>
    <w:rsid w:val="001E259D"/>
    <w:rsid w:val="001E2A0A"/>
    <w:rsid w:val="001E39E7"/>
    <w:rsid w:val="001E55ED"/>
    <w:rsid w:val="001E7788"/>
    <w:rsid w:val="001F2F59"/>
    <w:rsid w:val="001F5418"/>
    <w:rsid w:val="001F74E8"/>
    <w:rsid w:val="002010F2"/>
    <w:rsid w:val="002017B3"/>
    <w:rsid w:val="0020216F"/>
    <w:rsid w:val="00205154"/>
    <w:rsid w:val="00205C2E"/>
    <w:rsid w:val="00210392"/>
    <w:rsid w:val="002109CC"/>
    <w:rsid w:val="00210BC1"/>
    <w:rsid w:val="00213454"/>
    <w:rsid w:val="00213DCE"/>
    <w:rsid w:val="002140A1"/>
    <w:rsid w:val="00217911"/>
    <w:rsid w:val="0022246C"/>
    <w:rsid w:val="00222817"/>
    <w:rsid w:val="002255BE"/>
    <w:rsid w:val="00227714"/>
    <w:rsid w:val="00227F7C"/>
    <w:rsid w:val="002315C9"/>
    <w:rsid w:val="00232E61"/>
    <w:rsid w:val="00234EA4"/>
    <w:rsid w:val="0023604B"/>
    <w:rsid w:val="002428C1"/>
    <w:rsid w:val="002434D9"/>
    <w:rsid w:val="00246597"/>
    <w:rsid w:val="00250163"/>
    <w:rsid w:val="00254C4F"/>
    <w:rsid w:val="00254DD5"/>
    <w:rsid w:val="002560ED"/>
    <w:rsid w:val="00257772"/>
    <w:rsid w:val="00260CC4"/>
    <w:rsid w:val="00261D39"/>
    <w:rsid w:val="00262748"/>
    <w:rsid w:val="00263504"/>
    <w:rsid w:val="00263D8B"/>
    <w:rsid w:val="00264F8F"/>
    <w:rsid w:val="0026596A"/>
    <w:rsid w:val="00265D3C"/>
    <w:rsid w:val="0026631A"/>
    <w:rsid w:val="00266376"/>
    <w:rsid w:val="0026656B"/>
    <w:rsid w:val="00266F33"/>
    <w:rsid w:val="0027044A"/>
    <w:rsid w:val="002707A3"/>
    <w:rsid w:val="00272C88"/>
    <w:rsid w:val="002731E6"/>
    <w:rsid w:val="00276C1D"/>
    <w:rsid w:val="00277C54"/>
    <w:rsid w:val="00280A92"/>
    <w:rsid w:val="00280E8F"/>
    <w:rsid w:val="00281520"/>
    <w:rsid w:val="00282706"/>
    <w:rsid w:val="0028282F"/>
    <w:rsid w:val="002864CD"/>
    <w:rsid w:val="00287A8C"/>
    <w:rsid w:val="00291EFA"/>
    <w:rsid w:val="00293222"/>
    <w:rsid w:val="00294153"/>
    <w:rsid w:val="00294F89"/>
    <w:rsid w:val="00295D81"/>
    <w:rsid w:val="00296112"/>
    <w:rsid w:val="002A310C"/>
    <w:rsid w:val="002A411E"/>
    <w:rsid w:val="002A5F03"/>
    <w:rsid w:val="002A6E2F"/>
    <w:rsid w:val="002B081B"/>
    <w:rsid w:val="002B1672"/>
    <w:rsid w:val="002B3064"/>
    <w:rsid w:val="002B4238"/>
    <w:rsid w:val="002C01C6"/>
    <w:rsid w:val="002C17E2"/>
    <w:rsid w:val="002C1810"/>
    <w:rsid w:val="002C2734"/>
    <w:rsid w:val="002C3215"/>
    <w:rsid w:val="002C364D"/>
    <w:rsid w:val="002C3771"/>
    <w:rsid w:val="002C6C4D"/>
    <w:rsid w:val="002D535D"/>
    <w:rsid w:val="002D557F"/>
    <w:rsid w:val="002D5862"/>
    <w:rsid w:val="002D74A6"/>
    <w:rsid w:val="002D7600"/>
    <w:rsid w:val="002D794D"/>
    <w:rsid w:val="002E10E2"/>
    <w:rsid w:val="002E2A86"/>
    <w:rsid w:val="002E31E7"/>
    <w:rsid w:val="002E32AA"/>
    <w:rsid w:val="002E6A25"/>
    <w:rsid w:val="002E6B3F"/>
    <w:rsid w:val="002E71A2"/>
    <w:rsid w:val="002F037F"/>
    <w:rsid w:val="002F0F26"/>
    <w:rsid w:val="002F2670"/>
    <w:rsid w:val="002F4305"/>
    <w:rsid w:val="002F67EF"/>
    <w:rsid w:val="00300CCB"/>
    <w:rsid w:val="00301DBF"/>
    <w:rsid w:val="00303399"/>
    <w:rsid w:val="00306CB1"/>
    <w:rsid w:val="00306EB1"/>
    <w:rsid w:val="00310C54"/>
    <w:rsid w:val="003116CF"/>
    <w:rsid w:val="00313C13"/>
    <w:rsid w:val="00314673"/>
    <w:rsid w:val="00316621"/>
    <w:rsid w:val="0031734A"/>
    <w:rsid w:val="00317B40"/>
    <w:rsid w:val="00320956"/>
    <w:rsid w:val="00322666"/>
    <w:rsid w:val="00322D96"/>
    <w:rsid w:val="00324A8F"/>
    <w:rsid w:val="00324FEF"/>
    <w:rsid w:val="00325834"/>
    <w:rsid w:val="00331E14"/>
    <w:rsid w:val="003330C2"/>
    <w:rsid w:val="0033543C"/>
    <w:rsid w:val="00336072"/>
    <w:rsid w:val="00336876"/>
    <w:rsid w:val="00337135"/>
    <w:rsid w:val="0034137E"/>
    <w:rsid w:val="003426B3"/>
    <w:rsid w:val="00342C93"/>
    <w:rsid w:val="003439F6"/>
    <w:rsid w:val="00344797"/>
    <w:rsid w:val="00347031"/>
    <w:rsid w:val="0035058F"/>
    <w:rsid w:val="00350628"/>
    <w:rsid w:val="00354821"/>
    <w:rsid w:val="00355398"/>
    <w:rsid w:val="00356B01"/>
    <w:rsid w:val="003620DF"/>
    <w:rsid w:val="0036458A"/>
    <w:rsid w:val="00367944"/>
    <w:rsid w:val="00372139"/>
    <w:rsid w:val="00372D5B"/>
    <w:rsid w:val="00373F68"/>
    <w:rsid w:val="0037478D"/>
    <w:rsid w:val="0037591D"/>
    <w:rsid w:val="00375A09"/>
    <w:rsid w:val="00381A65"/>
    <w:rsid w:val="00381BC0"/>
    <w:rsid w:val="00381F10"/>
    <w:rsid w:val="00383D8D"/>
    <w:rsid w:val="00385140"/>
    <w:rsid w:val="00386842"/>
    <w:rsid w:val="003869B6"/>
    <w:rsid w:val="00386BFB"/>
    <w:rsid w:val="003875AC"/>
    <w:rsid w:val="0039040B"/>
    <w:rsid w:val="00391035"/>
    <w:rsid w:val="00393C71"/>
    <w:rsid w:val="00394DFC"/>
    <w:rsid w:val="00397BE2"/>
    <w:rsid w:val="003A12E8"/>
    <w:rsid w:val="003A2C0F"/>
    <w:rsid w:val="003A500C"/>
    <w:rsid w:val="003A6589"/>
    <w:rsid w:val="003A6D6C"/>
    <w:rsid w:val="003B09CC"/>
    <w:rsid w:val="003B1BFF"/>
    <w:rsid w:val="003B34FF"/>
    <w:rsid w:val="003B3C91"/>
    <w:rsid w:val="003B3CC3"/>
    <w:rsid w:val="003B6288"/>
    <w:rsid w:val="003B654E"/>
    <w:rsid w:val="003B7630"/>
    <w:rsid w:val="003C0EF7"/>
    <w:rsid w:val="003C2639"/>
    <w:rsid w:val="003C3666"/>
    <w:rsid w:val="003C3983"/>
    <w:rsid w:val="003C670F"/>
    <w:rsid w:val="003D2EE1"/>
    <w:rsid w:val="003E5604"/>
    <w:rsid w:val="003E6406"/>
    <w:rsid w:val="003E717C"/>
    <w:rsid w:val="003F0AA3"/>
    <w:rsid w:val="003F0C44"/>
    <w:rsid w:val="003F16B7"/>
    <w:rsid w:val="003F1C9C"/>
    <w:rsid w:val="003F3580"/>
    <w:rsid w:val="003F360D"/>
    <w:rsid w:val="003F3A1B"/>
    <w:rsid w:val="003F5459"/>
    <w:rsid w:val="003F6A31"/>
    <w:rsid w:val="003F6DE6"/>
    <w:rsid w:val="003F6F4B"/>
    <w:rsid w:val="003F7856"/>
    <w:rsid w:val="00400B3E"/>
    <w:rsid w:val="0040109A"/>
    <w:rsid w:val="00401A3C"/>
    <w:rsid w:val="00402D92"/>
    <w:rsid w:val="00403219"/>
    <w:rsid w:val="00404931"/>
    <w:rsid w:val="004062F8"/>
    <w:rsid w:val="00407F26"/>
    <w:rsid w:val="00413E6A"/>
    <w:rsid w:val="004159C7"/>
    <w:rsid w:val="00415AE6"/>
    <w:rsid w:val="00416AF9"/>
    <w:rsid w:val="00422D64"/>
    <w:rsid w:val="004232C8"/>
    <w:rsid w:val="00425096"/>
    <w:rsid w:val="00425128"/>
    <w:rsid w:val="00426094"/>
    <w:rsid w:val="00426B48"/>
    <w:rsid w:val="004277A9"/>
    <w:rsid w:val="00431EED"/>
    <w:rsid w:val="00432010"/>
    <w:rsid w:val="00435ACD"/>
    <w:rsid w:val="00436072"/>
    <w:rsid w:val="004362FE"/>
    <w:rsid w:val="004377EA"/>
    <w:rsid w:val="00441FA6"/>
    <w:rsid w:val="004466DF"/>
    <w:rsid w:val="00450223"/>
    <w:rsid w:val="004505C7"/>
    <w:rsid w:val="00451E09"/>
    <w:rsid w:val="00453DC6"/>
    <w:rsid w:val="00454D2C"/>
    <w:rsid w:val="0045530D"/>
    <w:rsid w:val="00456C5A"/>
    <w:rsid w:val="00456CE8"/>
    <w:rsid w:val="0045728D"/>
    <w:rsid w:val="004613BF"/>
    <w:rsid w:val="00463CF7"/>
    <w:rsid w:val="0046422B"/>
    <w:rsid w:val="0046568F"/>
    <w:rsid w:val="0046735C"/>
    <w:rsid w:val="004706A5"/>
    <w:rsid w:val="00470BBF"/>
    <w:rsid w:val="00474A74"/>
    <w:rsid w:val="00483139"/>
    <w:rsid w:val="00484D35"/>
    <w:rsid w:val="00485FDC"/>
    <w:rsid w:val="00486C53"/>
    <w:rsid w:val="0048715D"/>
    <w:rsid w:val="004876D5"/>
    <w:rsid w:val="004908F9"/>
    <w:rsid w:val="00492A9C"/>
    <w:rsid w:val="00493539"/>
    <w:rsid w:val="00494DEE"/>
    <w:rsid w:val="004951C8"/>
    <w:rsid w:val="004960E8"/>
    <w:rsid w:val="004969D6"/>
    <w:rsid w:val="004A09A6"/>
    <w:rsid w:val="004A194C"/>
    <w:rsid w:val="004A23A1"/>
    <w:rsid w:val="004A5604"/>
    <w:rsid w:val="004A596D"/>
    <w:rsid w:val="004A7D86"/>
    <w:rsid w:val="004B0624"/>
    <w:rsid w:val="004B0CAD"/>
    <w:rsid w:val="004B5064"/>
    <w:rsid w:val="004C0425"/>
    <w:rsid w:val="004C1A32"/>
    <w:rsid w:val="004C1CF8"/>
    <w:rsid w:val="004C3BF4"/>
    <w:rsid w:val="004C454B"/>
    <w:rsid w:val="004D07CA"/>
    <w:rsid w:val="004D1731"/>
    <w:rsid w:val="004D22F4"/>
    <w:rsid w:val="004D27D7"/>
    <w:rsid w:val="004D297F"/>
    <w:rsid w:val="004D3245"/>
    <w:rsid w:val="004D3371"/>
    <w:rsid w:val="004D7C84"/>
    <w:rsid w:val="004E0925"/>
    <w:rsid w:val="004E1970"/>
    <w:rsid w:val="004E24FF"/>
    <w:rsid w:val="004E3223"/>
    <w:rsid w:val="004E49BC"/>
    <w:rsid w:val="004E70C5"/>
    <w:rsid w:val="004E7D6B"/>
    <w:rsid w:val="004F0945"/>
    <w:rsid w:val="004F2A54"/>
    <w:rsid w:val="00505D6B"/>
    <w:rsid w:val="0050762E"/>
    <w:rsid w:val="00507854"/>
    <w:rsid w:val="00511F7C"/>
    <w:rsid w:val="00512735"/>
    <w:rsid w:val="005136F3"/>
    <w:rsid w:val="00514617"/>
    <w:rsid w:val="00514D48"/>
    <w:rsid w:val="00515EB1"/>
    <w:rsid w:val="005161EF"/>
    <w:rsid w:val="0051687E"/>
    <w:rsid w:val="00516EDF"/>
    <w:rsid w:val="005200A4"/>
    <w:rsid w:val="00520559"/>
    <w:rsid w:val="00520659"/>
    <w:rsid w:val="005227F2"/>
    <w:rsid w:val="005242CA"/>
    <w:rsid w:val="00525636"/>
    <w:rsid w:val="00530B70"/>
    <w:rsid w:val="00530CB7"/>
    <w:rsid w:val="00531093"/>
    <w:rsid w:val="005316DA"/>
    <w:rsid w:val="005324D8"/>
    <w:rsid w:val="00534354"/>
    <w:rsid w:val="0053445B"/>
    <w:rsid w:val="005348FF"/>
    <w:rsid w:val="00535D4C"/>
    <w:rsid w:val="00536EFE"/>
    <w:rsid w:val="00537CC6"/>
    <w:rsid w:val="00542212"/>
    <w:rsid w:val="00542516"/>
    <w:rsid w:val="0054328C"/>
    <w:rsid w:val="00543CA0"/>
    <w:rsid w:val="00543E79"/>
    <w:rsid w:val="00544A35"/>
    <w:rsid w:val="005473AE"/>
    <w:rsid w:val="00547C4F"/>
    <w:rsid w:val="005514A7"/>
    <w:rsid w:val="00553505"/>
    <w:rsid w:val="005547C4"/>
    <w:rsid w:val="005600F5"/>
    <w:rsid w:val="005605AE"/>
    <w:rsid w:val="00561E23"/>
    <w:rsid w:val="00564D16"/>
    <w:rsid w:val="00565324"/>
    <w:rsid w:val="00565EAD"/>
    <w:rsid w:val="0056789E"/>
    <w:rsid w:val="005709E1"/>
    <w:rsid w:val="00571FD9"/>
    <w:rsid w:val="0057232B"/>
    <w:rsid w:val="00572746"/>
    <w:rsid w:val="00573490"/>
    <w:rsid w:val="005738E9"/>
    <w:rsid w:val="00575101"/>
    <w:rsid w:val="0057736F"/>
    <w:rsid w:val="005774C5"/>
    <w:rsid w:val="005809A2"/>
    <w:rsid w:val="00580D19"/>
    <w:rsid w:val="0058173A"/>
    <w:rsid w:val="00581A41"/>
    <w:rsid w:val="0058259F"/>
    <w:rsid w:val="00583ADB"/>
    <w:rsid w:val="00583FB6"/>
    <w:rsid w:val="005849F1"/>
    <w:rsid w:val="00585542"/>
    <w:rsid w:val="00586146"/>
    <w:rsid w:val="00590013"/>
    <w:rsid w:val="00590C46"/>
    <w:rsid w:val="00593EA3"/>
    <w:rsid w:val="005943CD"/>
    <w:rsid w:val="005959F1"/>
    <w:rsid w:val="005A0F69"/>
    <w:rsid w:val="005A1A01"/>
    <w:rsid w:val="005A1C47"/>
    <w:rsid w:val="005B0806"/>
    <w:rsid w:val="005B157C"/>
    <w:rsid w:val="005B1F45"/>
    <w:rsid w:val="005B45CF"/>
    <w:rsid w:val="005B51B6"/>
    <w:rsid w:val="005B6BB6"/>
    <w:rsid w:val="005C0710"/>
    <w:rsid w:val="005C5B43"/>
    <w:rsid w:val="005D26BE"/>
    <w:rsid w:val="005D4C85"/>
    <w:rsid w:val="005D6187"/>
    <w:rsid w:val="005D6BDC"/>
    <w:rsid w:val="005D6EE0"/>
    <w:rsid w:val="005D6FA4"/>
    <w:rsid w:val="005E14E9"/>
    <w:rsid w:val="005E2223"/>
    <w:rsid w:val="005E2F6E"/>
    <w:rsid w:val="005E2FF9"/>
    <w:rsid w:val="005E3F32"/>
    <w:rsid w:val="005E60FB"/>
    <w:rsid w:val="005E68C1"/>
    <w:rsid w:val="005E7C2F"/>
    <w:rsid w:val="005F17B2"/>
    <w:rsid w:val="005F1BA7"/>
    <w:rsid w:val="005F216C"/>
    <w:rsid w:val="005F23ED"/>
    <w:rsid w:val="005F2F82"/>
    <w:rsid w:val="005F3889"/>
    <w:rsid w:val="005F4BAA"/>
    <w:rsid w:val="005F6314"/>
    <w:rsid w:val="0060299F"/>
    <w:rsid w:val="006041B3"/>
    <w:rsid w:val="0060509A"/>
    <w:rsid w:val="0060594D"/>
    <w:rsid w:val="00606456"/>
    <w:rsid w:val="00606B8B"/>
    <w:rsid w:val="00610E5B"/>
    <w:rsid w:val="00611CC4"/>
    <w:rsid w:val="00612B87"/>
    <w:rsid w:val="0061347B"/>
    <w:rsid w:val="006146A5"/>
    <w:rsid w:val="00615E3B"/>
    <w:rsid w:val="00616E1D"/>
    <w:rsid w:val="00616F5E"/>
    <w:rsid w:val="006174BE"/>
    <w:rsid w:val="006213C1"/>
    <w:rsid w:val="00621649"/>
    <w:rsid w:val="006256CE"/>
    <w:rsid w:val="00625C11"/>
    <w:rsid w:val="00627D4C"/>
    <w:rsid w:val="006300D3"/>
    <w:rsid w:val="00631CAC"/>
    <w:rsid w:val="00632751"/>
    <w:rsid w:val="006336B2"/>
    <w:rsid w:val="00633E3E"/>
    <w:rsid w:val="00635155"/>
    <w:rsid w:val="00637451"/>
    <w:rsid w:val="00637FAB"/>
    <w:rsid w:val="006414E6"/>
    <w:rsid w:val="00643401"/>
    <w:rsid w:val="0064383C"/>
    <w:rsid w:val="006479D9"/>
    <w:rsid w:val="00652AE8"/>
    <w:rsid w:val="006558F9"/>
    <w:rsid w:val="00656F1A"/>
    <w:rsid w:val="00662F8A"/>
    <w:rsid w:val="00667E25"/>
    <w:rsid w:val="0067638A"/>
    <w:rsid w:val="00677E41"/>
    <w:rsid w:val="00680D0B"/>
    <w:rsid w:val="0068278C"/>
    <w:rsid w:val="00683ED3"/>
    <w:rsid w:val="006868C0"/>
    <w:rsid w:val="0068723C"/>
    <w:rsid w:val="006912DA"/>
    <w:rsid w:val="00692DA8"/>
    <w:rsid w:val="00693415"/>
    <w:rsid w:val="00694AAE"/>
    <w:rsid w:val="00695BE5"/>
    <w:rsid w:val="0069643C"/>
    <w:rsid w:val="006979BF"/>
    <w:rsid w:val="00697E9A"/>
    <w:rsid w:val="006A11CB"/>
    <w:rsid w:val="006A281F"/>
    <w:rsid w:val="006A2F2F"/>
    <w:rsid w:val="006A61E8"/>
    <w:rsid w:val="006B4EB3"/>
    <w:rsid w:val="006B5212"/>
    <w:rsid w:val="006B7EE6"/>
    <w:rsid w:val="006C0976"/>
    <w:rsid w:val="006C327F"/>
    <w:rsid w:val="006C35DB"/>
    <w:rsid w:val="006C3739"/>
    <w:rsid w:val="006C3DAC"/>
    <w:rsid w:val="006C5785"/>
    <w:rsid w:val="006C57D3"/>
    <w:rsid w:val="006C6F1E"/>
    <w:rsid w:val="006C7204"/>
    <w:rsid w:val="006D1E24"/>
    <w:rsid w:val="006D3574"/>
    <w:rsid w:val="006D3969"/>
    <w:rsid w:val="006D5E46"/>
    <w:rsid w:val="006D73B0"/>
    <w:rsid w:val="006E021C"/>
    <w:rsid w:val="006E0D64"/>
    <w:rsid w:val="006E2F76"/>
    <w:rsid w:val="006E4787"/>
    <w:rsid w:val="006E4FF8"/>
    <w:rsid w:val="006F2060"/>
    <w:rsid w:val="006F3F45"/>
    <w:rsid w:val="006F510F"/>
    <w:rsid w:val="006F5361"/>
    <w:rsid w:val="006F702F"/>
    <w:rsid w:val="006F79E9"/>
    <w:rsid w:val="00701E8C"/>
    <w:rsid w:val="00704F0D"/>
    <w:rsid w:val="0070651A"/>
    <w:rsid w:val="007066B7"/>
    <w:rsid w:val="007076CD"/>
    <w:rsid w:val="00711072"/>
    <w:rsid w:val="007110DF"/>
    <w:rsid w:val="007116E4"/>
    <w:rsid w:val="00711852"/>
    <w:rsid w:val="00714CAB"/>
    <w:rsid w:val="00714DD9"/>
    <w:rsid w:val="00714F6F"/>
    <w:rsid w:val="007207A0"/>
    <w:rsid w:val="007218C3"/>
    <w:rsid w:val="007243F8"/>
    <w:rsid w:val="007265E8"/>
    <w:rsid w:val="00732D8D"/>
    <w:rsid w:val="007341CF"/>
    <w:rsid w:val="0073456F"/>
    <w:rsid w:val="00743228"/>
    <w:rsid w:val="00743CFC"/>
    <w:rsid w:val="00746EE9"/>
    <w:rsid w:val="0074791E"/>
    <w:rsid w:val="00751AE2"/>
    <w:rsid w:val="00753151"/>
    <w:rsid w:val="00753505"/>
    <w:rsid w:val="0075594E"/>
    <w:rsid w:val="00755DCD"/>
    <w:rsid w:val="0076103F"/>
    <w:rsid w:val="0076273A"/>
    <w:rsid w:val="00763061"/>
    <w:rsid w:val="007639A3"/>
    <w:rsid w:val="00766B60"/>
    <w:rsid w:val="0077122F"/>
    <w:rsid w:val="007716B6"/>
    <w:rsid w:val="00771E9E"/>
    <w:rsid w:val="00771F86"/>
    <w:rsid w:val="007728A2"/>
    <w:rsid w:val="007744AD"/>
    <w:rsid w:val="00774C21"/>
    <w:rsid w:val="0078188A"/>
    <w:rsid w:val="007818A7"/>
    <w:rsid w:val="00781E18"/>
    <w:rsid w:val="00782D03"/>
    <w:rsid w:val="00782FEE"/>
    <w:rsid w:val="007877D5"/>
    <w:rsid w:val="00791CFD"/>
    <w:rsid w:val="007929B4"/>
    <w:rsid w:val="00795F74"/>
    <w:rsid w:val="00796CCB"/>
    <w:rsid w:val="007A0957"/>
    <w:rsid w:val="007A1A6B"/>
    <w:rsid w:val="007A1A9F"/>
    <w:rsid w:val="007A361F"/>
    <w:rsid w:val="007A3EF7"/>
    <w:rsid w:val="007A4AA7"/>
    <w:rsid w:val="007A4B28"/>
    <w:rsid w:val="007A5619"/>
    <w:rsid w:val="007A5F97"/>
    <w:rsid w:val="007A66C1"/>
    <w:rsid w:val="007A6AE8"/>
    <w:rsid w:val="007A75FE"/>
    <w:rsid w:val="007A78A8"/>
    <w:rsid w:val="007B0491"/>
    <w:rsid w:val="007B057B"/>
    <w:rsid w:val="007B3149"/>
    <w:rsid w:val="007B3927"/>
    <w:rsid w:val="007B5036"/>
    <w:rsid w:val="007B505D"/>
    <w:rsid w:val="007B6419"/>
    <w:rsid w:val="007B703A"/>
    <w:rsid w:val="007B7131"/>
    <w:rsid w:val="007C07A8"/>
    <w:rsid w:val="007C0EB9"/>
    <w:rsid w:val="007C3369"/>
    <w:rsid w:val="007C4C1C"/>
    <w:rsid w:val="007C6E20"/>
    <w:rsid w:val="007C7480"/>
    <w:rsid w:val="007D2D6F"/>
    <w:rsid w:val="007D4699"/>
    <w:rsid w:val="007D772E"/>
    <w:rsid w:val="007E0769"/>
    <w:rsid w:val="007E1AA1"/>
    <w:rsid w:val="007E3FB4"/>
    <w:rsid w:val="007E652B"/>
    <w:rsid w:val="007E7E11"/>
    <w:rsid w:val="007F0648"/>
    <w:rsid w:val="007F103E"/>
    <w:rsid w:val="007F169F"/>
    <w:rsid w:val="007F19E1"/>
    <w:rsid w:val="007F306F"/>
    <w:rsid w:val="007F6996"/>
    <w:rsid w:val="0080007B"/>
    <w:rsid w:val="00800580"/>
    <w:rsid w:val="008009FF"/>
    <w:rsid w:val="0080180B"/>
    <w:rsid w:val="0080185D"/>
    <w:rsid w:val="0080277F"/>
    <w:rsid w:val="00803963"/>
    <w:rsid w:val="0080646B"/>
    <w:rsid w:val="008065B3"/>
    <w:rsid w:val="00810E84"/>
    <w:rsid w:val="008114A7"/>
    <w:rsid w:val="00814BBC"/>
    <w:rsid w:val="008163A1"/>
    <w:rsid w:val="00816614"/>
    <w:rsid w:val="00816620"/>
    <w:rsid w:val="00816A33"/>
    <w:rsid w:val="008204E5"/>
    <w:rsid w:val="0082060F"/>
    <w:rsid w:val="0082162F"/>
    <w:rsid w:val="00822871"/>
    <w:rsid w:val="0082728A"/>
    <w:rsid w:val="00830214"/>
    <w:rsid w:val="00830B76"/>
    <w:rsid w:val="00832641"/>
    <w:rsid w:val="0083474E"/>
    <w:rsid w:val="00836AA1"/>
    <w:rsid w:val="00836AA3"/>
    <w:rsid w:val="00837741"/>
    <w:rsid w:val="00837ECC"/>
    <w:rsid w:val="008418DA"/>
    <w:rsid w:val="0084207A"/>
    <w:rsid w:val="00843D83"/>
    <w:rsid w:val="00846062"/>
    <w:rsid w:val="0084705D"/>
    <w:rsid w:val="008513D6"/>
    <w:rsid w:val="00852484"/>
    <w:rsid w:val="00852D1A"/>
    <w:rsid w:val="00853522"/>
    <w:rsid w:val="00855FA8"/>
    <w:rsid w:val="00860C7B"/>
    <w:rsid w:val="00863311"/>
    <w:rsid w:val="00864B0D"/>
    <w:rsid w:val="00866FEA"/>
    <w:rsid w:val="008701D9"/>
    <w:rsid w:val="008722E5"/>
    <w:rsid w:val="008741E8"/>
    <w:rsid w:val="00875D54"/>
    <w:rsid w:val="00875DD7"/>
    <w:rsid w:val="008778A2"/>
    <w:rsid w:val="0088000D"/>
    <w:rsid w:val="00880BE2"/>
    <w:rsid w:val="00880DBE"/>
    <w:rsid w:val="008837BA"/>
    <w:rsid w:val="008849BF"/>
    <w:rsid w:val="00884D46"/>
    <w:rsid w:val="00885E6E"/>
    <w:rsid w:val="00887F75"/>
    <w:rsid w:val="008905D3"/>
    <w:rsid w:val="00890915"/>
    <w:rsid w:val="00890BCD"/>
    <w:rsid w:val="00892A7B"/>
    <w:rsid w:val="00893678"/>
    <w:rsid w:val="0089678B"/>
    <w:rsid w:val="00897DDE"/>
    <w:rsid w:val="008A1733"/>
    <w:rsid w:val="008A6565"/>
    <w:rsid w:val="008B6145"/>
    <w:rsid w:val="008B6C81"/>
    <w:rsid w:val="008C178B"/>
    <w:rsid w:val="008C1BC7"/>
    <w:rsid w:val="008C2A4D"/>
    <w:rsid w:val="008C3840"/>
    <w:rsid w:val="008D03E0"/>
    <w:rsid w:val="008D0A4C"/>
    <w:rsid w:val="008D0E03"/>
    <w:rsid w:val="008D0E19"/>
    <w:rsid w:val="008D1946"/>
    <w:rsid w:val="008E3BE6"/>
    <w:rsid w:val="008E457F"/>
    <w:rsid w:val="008F43D8"/>
    <w:rsid w:val="008F4E02"/>
    <w:rsid w:val="008F56EC"/>
    <w:rsid w:val="008F5B84"/>
    <w:rsid w:val="008F798D"/>
    <w:rsid w:val="00900307"/>
    <w:rsid w:val="0090060E"/>
    <w:rsid w:val="00902408"/>
    <w:rsid w:val="00902F08"/>
    <w:rsid w:val="009045E4"/>
    <w:rsid w:val="00904638"/>
    <w:rsid w:val="00904B2B"/>
    <w:rsid w:val="009052FB"/>
    <w:rsid w:val="00905370"/>
    <w:rsid w:val="00906415"/>
    <w:rsid w:val="00907378"/>
    <w:rsid w:val="009077FF"/>
    <w:rsid w:val="00911BA0"/>
    <w:rsid w:val="00911D21"/>
    <w:rsid w:val="00913E0F"/>
    <w:rsid w:val="00915B68"/>
    <w:rsid w:val="00916E62"/>
    <w:rsid w:val="0092084A"/>
    <w:rsid w:val="009304CD"/>
    <w:rsid w:val="00932FA6"/>
    <w:rsid w:val="009355EB"/>
    <w:rsid w:val="00937277"/>
    <w:rsid w:val="00937A0A"/>
    <w:rsid w:val="009448EB"/>
    <w:rsid w:val="00945F08"/>
    <w:rsid w:val="0094774A"/>
    <w:rsid w:val="00952287"/>
    <w:rsid w:val="009524E0"/>
    <w:rsid w:val="00957742"/>
    <w:rsid w:val="00962C33"/>
    <w:rsid w:val="00963ED1"/>
    <w:rsid w:val="00965DEC"/>
    <w:rsid w:val="00966853"/>
    <w:rsid w:val="00966B34"/>
    <w:rsid w:val="00974FE6"/>
    <w:rsid w:val="00976D44"/>
    <w:rsid w:val="00980F02"/>
    <w:rsid w:val="00983604"/>
    <w:rsid w:val="00984F6F"/>
    <w:rsid w:val="0098572E"/>
    <w:rsid w:val="0098690A"/>
    <w:rsid w:val="009876B2"/>
    <w:rsid w:val="00991447"/>
    <w:rsid w:val="00992AB6"/>
    <w:rsid w:val="00993680"/>
    <w:rsid w:val="00994596"/>
    <w:rsid w:val="0099463C"/>
    <w:rsid w:val="00994D79"/>
    <w:rsid w:val="0099717A"/>
    <w:rsid w:val="009A03B3"/>
    <w:rsid w:val="009A0DAC"/>
    <w:rsid w:val="009A184D"/>
    <w:rsid w:val="009A2F08"/>
    <w:rsid w:val="009A5DB0"/>
    <w:rsid w:val="009A7438"/>
    <w:rsid w:val="009A79C7"/>
    <w:rsid w:val="009B04DB"/>
    <w:rsid w:val="009B1E34"/>
    <w:rsid w:val="009B33ED"/>
    <w:rsid w:val="009B3539"/>
    <w:rsid w:val="009B6748"/>
    <w:rsid w:val="009B6D2A"/>
    <w:rsid w:val="009B77C4"/>
    <w:rsid w:val="009C0737"/>
    <w:rsid w:val="009C0BC2"/>
    <w:rsid w:val="009C1319"/>
    <w:rsid w:val="009C37E7"/>
    <w:rsid w:val="009C436E"/>
    <w:rsid w:val="009C7D8D"/>
    <w:rsid w:val="009D1CC4"/>
    <w:rsid w:val="009D1F0F"/>
    <w:rsid w:val="009D231E"/>
    <w:rsid w:val="009D289C"/>
    <w:rsid w:val="009D2B2D"/>
    <w:rsid w:val="009D3253"/>
    <w:rsid w:val="009D38CC"/>
    <w:rsid w:val="009D4A1E"/>
    <w:rsid w:val="009D4D93"/>
    <w:rsid w:val="009D5FDA"/>
    <w:rsid w:val="009D7270"/>
    <w:rsid w:val="009D7598"/>
    <w:rsid w:val="009E274F"/>
    <w:rsid w:val="009E53F5"/>
    <w:rsid w:val="009E6B4E"/>
    <w:rsid w:val="009E7330"/>
    <w:rsid w:val="009F0DDF"/>
    <w:rsid w:val="009F2931"/>
    <w:rsid w:val="009F2DF8"/>
    <w:rsid w:val="009F34D1"/>
    <w:rsid w:val="009F60E9"/>
    <w:rsid w:val="009F6275"/>
    <w:rsid w:val="009F78CF"/>
    <w:rsid w:val="009F7F8B"/>
    <w:rsid w:val="00A00023"/>
    <w:rsid w:val="00A03872"/>
    <w:rsid w:val="00A03EAC"/>
    <w:rsid w:val="00A05C83"/>
    <w:rsid w:val="00A06708"/>
    <w:rsid w:val="00A06AE7"/>
    <w:rsid w:val="00A0760D"/>
    <w:rsid w:val="00A11DD8"/>
    <w:rsid w:val="00A13633"/>
    <w:rsid w:val="00A14013"/>
    <w:rsid w:val="00A146D0"/>
    <w:rsid w:val="00A15649"/>
    <w:rsid w:val="00A17508"/>
    <w:rsid w:val="00A204B0"/>
    <w:rsid w:val="00A21041"/>
    <w:rsid w:val="00A2233C"/>
    <w:rsid w:val="00A238D7"/>
    <w:rsid w:val="00A240BB"/>
    <w:rsid w:val="00A240FD"/>
    <w:rsid w:val="00A246B4"/>
    <w:rsid w:val="00A24819"/>
    <w:rsid w:val="00A24B66"/>
    <w:rsid w:val="00A25E35"/>
    <w:rsid w:val="00A2705E"/>
    <w:rsid w:val="00A30FAC"/>
    <w:rsid w:val="00A3195D"/>
    <w:rsid w:val="00A31A42"/>
    <w:rsid w:val="00A321DA"/>
    <w:rsid w:val="00A339BF"/>
    <w:rsid w:val="00A35EA6"/>
    <w:rsid w:val="00A44BCB"/>
    <w:rsid w:val="00A45888"/>
    <w:rsid w:val="00A50242"/>
    <w:rsid w:val="00A50EB0"/>
    <w:rsid w:val="00A524B7"/>
    <w:rsid w:val="00A526BC"/>
    <w:rsid w:val="00A53AA9"/>
    <w:rsid w:val="00A54998"/>
    <w:rsid w:val="00A56AF6"/>
    <w:rsid w:val="00A60223"/>
    <w:rsid w:val="00A6138F"/>
    <w:rsid w:val="00A613AC"/>
    <w:rsid w:val="00A6371D"/>
    <w:rsid w:val="00A65011"/>
    <w:rsid w:val="00A6565C"/>
    <w:rsid w:val="00A66FA9"/>
    <w:rsid w:val="00A70DC6"/>
    <w:rsid w:val="00A70DC8"/>
    <w:rsid w:val="00A73942"/>
    <w:rsid w:val="00A73B0D"/>
    <w:rsid w:val="00A73B72"/>
    <w:rsid w:val="00A748C4"/>
    <w:rsid w:val="00A74ADB"/>
    <w:rsid w:val="00A7791B"/>
    <w:rsid w:val="00A81304"/>
    <w:rsid w:val="00A8332F"/>
    <w:rsid w:val="00A84359"/>
    <w:rsid w:val="00A84B9D"/>
    <w:rsid w:val="00A8604B"/>
    <w:rsid w:val="00A86199"/>
    <w:rsid w:val="00A86B2C"/>
    <w:rsid w:val="00A925C1"/>
    <w:rsid w:val="00A92B52"/>
    <w:rsid w:val="00A931DC"/>
    <w:rsid w:val="00A9446A"/>
    <w:rsid w:val="00A960E3"/>
    <w:rsid w:val="00AA1554"/>
    <w:rsid w:val="00AA25C2"/>
    <w:rsid w:val="00AA3C2D"/>
    <w:rsid w:val="00AA40AD"/>
    <w:rsid w:val="00AA5754"/>
    <w:rsid w:val="00AA7105"/>
    <w:rsid w:val="00AA74A7"/>
    <w:rsid w:val="00AB0BEA"/>
    <w:rsid w:val="00AB3EE3"/>
    <w:rsid w:val="00AB47A2"/>
    <w:rsid w:val="00AB693A"/>
    <w:rsid w:val="00AB720C"/>
    <w:rsid w:val="00AB7B5E"/>
    <w:rsid w:val="00AC00E4"/>
    <w:rsid w:val="00AC2066"/>
    <w:rsid w:val="00AC50FF"/>
    <w:rsid w:val="00AC529B"/>
    <w:rsid w:val="00AC5817"/>
    <w:rsid w:val="00AD108E"/>
    <w:rsid w:val="00AD1D93"/>
    <w:rsid w:val="00AD2E8A"/>
    <w:rsid w:val="00AD392E"/>
    <w:rsid w:val="00AD4488"/>
    <w:rsid w:val="00AD48D9"/>
    <w:rsid w:val="00AD67FC"/>
    <w:rsid w:val="00AD7D70"/>
    <w:rsid w:val="00AE07F9"/>
    <w:rsid w:val="00AE3FFF"/>
    <w:rsid w:val="00AE4D02"/>
    <w:rsid w:val="00AF172F"/>
    <w:rsid w:val="00AF3F35"/>
    <w:rsid w:val="00B00481"/>
    <w:rsid w:val="00B00D84"/>
    <w:rsid w:val="00B032A1"/>
    <w:rsid w:val="00B04DF4"/>
    <w:rsid w:val="00B06B80"/>
    <w:rsid w:val="00B11587"/>
    <w:rsid w:val="00B13203"/>
    <w:rsid w:val="00B13CB7"/>
    <w:rsid w:val="00B15ACE"/>
    <w:rsid w:val="00B17509"/>
    <w:rsid w:val="00B21C42"/>
    <w:rsid w:val="00B21ECE"/>
    <w:rsid w:val="00B23364"/>
    <w:rsid w:val="00B2362D"/>
    <w:rsid w:val="00B23EA6"/>
    <w:rsid w:val="00B24183"/>
    <w:rsid w:val="00B249FB"/>
    <w:rsid w:val="00B2528F"/>
    <w:rsid w:val="00B25905"/>
    <w:rsid w:val="00B3411C"/>
    <w:rsid w:val="00B342EB"/>
    <w:rsid w:val="00B3659D"/>
    <w:rsid w:val="00B37948"/>
    <w:rsid w:val="00B405CE"/>
    <w:rsid w:val="00B40B16"/>
    <w:rsid w:val="00B42CA0"/>
    <w:rsid w:val="00B4723C"/>
    <w:rsid w:val="00B5356C"/>
    <w:rsid w:val="00B53FB6"/>
    <w:rsid w:val="00B54BA5"/>
    <w:rsid w:val="00B55175"/>
    <w:rsid w:val="00B567B1"/>
    <w:rsid w:val="00B56D0F"/>
    <w:rsid w:val="00B57FC2"/>
    <w:rsid w:val="00B606C1"/>
    <w:rsid w:val="00B607F1"/>
    <w:rsid w:val="00B614B8"/>
    <w:rsid w:val="00B65A77"/>
    <w:rsid w:val="00B65D23"/>
    <w:rsid w:val="00B66093"/>
    <w:rsid w:val="00B668A7"/>
    <w:rsid w:val="00B70F37"/>
    <w:rsid w:val="00B71D6D"/>
    <w:rsid w:val="00B73B75"/>
    <w:rsid w:val="00B74869"/>
    <w:rsid w:val="00B77F15"/>
    <w:rsid w:val="00B83C6E"/>
    <w:rsid w:val="00B843A5"/>
    <w:rsid w:val="00B84949"/>
    <w:rsid w:val="00B86232"/>
    <w:rsid w:val="00B87253"/>
    <w:rsid w:val="00B92BAF"/>
    <w:rsid w:val="00B92C83"/>
    <w:rsid w:val="00B93FC6"/>
    <w:rsid w:val="00B9448A"/>
    <w:rsid w:val="00B959E5"/>
    <w:rsid w:val="00BA0B0F"/>
    <w:rsid w:val="00BA2C08"/>
    <w:rsid w:val="00BA4D46"/>
    <w:rsid w:val="00BA560E"/>
    <w:rsid w:val="00BA5662"/>
    <w:rsid w:val="00BA5874"/>
    <w:rsid w:val="00BA60C1"/>
    <w:rsid w:val="00BA6128"/>
    <w:rsid w:val="00BA72DB"/>
    <w:rsid w:val="00BB041A"/>
    <w:rsid w:val="00BB1691"/>
    <w:rsid w:val="00BB2C37"/>
    <w:rsid w:val="00BB3223"/>
    <w:rsid w:val="00BB6429"/>
    <w:rsid w:val="00BB7CE5"/>
    <w:rsid w:val="00BC0741"/>
    <w:rsid w:val="00BC2519"/>
    <w:rsid w:val="00BC2876"/>
    <w:rsid w:val="00BC51F4"/>
    <w:rsid w:val="00BD3984"/>
    <w:rsid w:val="00BD5F2D"/>
    <w:rsid w:val="00BE2884"/>
    <w:rsid w:val="00BE5740"/>
    <w:rsid w:val="00BE63E9"/>
    <w:rsid w:val="00BE6936"/>
    <w:rsid w:val="00BE6F46"/>
    <w:rsid w:val="00BE75CE"/>
    <w:rsid w:val="00BE78B4"/>
    <w:rsid w:val="00BF2371"/>
    <w:rsid w:val="00BF3BA8"/>
    <w:rsid w:val="00BF6455"/>
    <w:rsid w:val="00BF7A38"/>
    <w:rsid w:val="00C00EB6"/>
    <w:rsid w:val="00C0187E"/>
    <w:rsid w:val="00C02323"/>
    <w:rsid w:val="00C03758"/>
    <w:rsid w:val="00C10007"/>
    <w:rsid w:val="00C10D37"/>
    <w:rsid w:val="00C12D62"/>
    <w:rsid w:val="00C1455E"/>
    <w:rsid w:val="00C228D1"/>
    <w:rsid w:val="00C23B89"/>
    <w:rsid w:val="00C249E9"/>
    <w:rsid w:val="00C24E26"/>
    <w:rsid w:val="00C25075"/>
    <w:rsid w:val="00C26CB0"/>
    <w:rsid w:val="00C2738A"/>
    <w:rsid w:val="00C31B6E"/>
    <w:rsid w:val="00C348E0"/>
    <w:rsid w:val="00C34AE6"/>
    <w:rsid w:val="00C350EB"/>
    <w:rsid w:val="00C357B2"/>
    <w:rsid w:val="00C40F7C"/>
    <w:rsid w:val="00C46E3F"/>
    <w:rsid w:val="00C47153"/>
    <w:rsid w:val="00C4789D"/>
    <w:rsid w:val="00C47A25"/>
    <w:rsid w:val="00C53E65"/>
    <w:rsid w:val="00C609B2"/>
    <w:rsid w:val="00C63A64"/>
    <w:rsid w:val="00C6586D"/>
    <w:rsid w:val="00C7007A"/>
    <w:rsid w:val="00C70909"/>
    <w:rsid w:val="00C71A39"/>
    <w:rsid w:val="00C72E98"/>
    <w:rsid w:val="00C760CA"/>
    <w:rsid w:val="00C76998"/>
    <w:rsid w:val="00C8089B"/>
    <w:rsid w:val="00C81948"/>
    <w:rsid w:val="00C823BB"/>
    <w:rsid w:val="00C8504B"/>
    <w:rsid w:val="00C85518"/>
    <w:rsid w:val="00C855D9"/>
    <w:rsid w:val="00C8765E"/>
    <w:rsid w:val="00C91390"/>
    <w:rsid w:val="00C92FA0"/>
    <w:rsid w:val="00C94864"/>
    <w:rsid w:val="00C96146"/>
    <w:rsid w:val="00C97925"/>
    <w:rsid w:val="00CA17DD"/>
    <w:rsid w:val="00CA2E53"/>
    <w:rsid w:val="00CA5C62"/>
    <w:rsid w:val="00CB109F"/>
    <w:rsid w:val="00CB5C83"/>
    <w:rsid w:val="00CB5F1C"/>
    <w:rsid w:val="00CC053E"/>
    <w:rsid w:val="00CC2798"/>
    <w:rsid w:val="00CC6075"/>
    <w:rsid w:val="00CC7467"/>
    <w:rsid w:val="00CD0103"/>
    <w:rsid w:val="00CD0B51"/>
    <w:rsid w:val="00CD0E17"/>
    <w:rsid w:val="00CD31BA"/>
    <w:rsid w:val="00CD3BC0"/>
    <w:rsid w:val="00CE2065"/>
    <w:rsid w:val="00CE25F0"/>
    <w:rsid w:val="00CE4D9B"/>
    <w:rsid w:val="00CE5A8C"/>
    <w:rsid w:val="00CE5ABD"/>
    <w:rsid w:val="00CF36EF"/>
    <w:rsid w:val="00CF3761"/>
    <w:rsid w:val="00CF55A0"/>
    <w:rsid w:val="00D01BC1"/>
    <w:rsid w:val="00D05260"/>
    <w:rsid w:val="00D06B19"/>
    <w:rsid w:val="00D11353"/>
    <w:rsid w:val="00D13E87"/>
    <w:rsid w:val="00D13EAB"/>
    <w:rsid w:val="00D14875"/>
    <w:rsid w:val="00D178E8"/>
    <w:rsid w:val="00D200E4"/>
    <w:rsid w:val="00D235B2"/>
    <w:rsid w:val="00D23854"/>
    <w:rsid w:val="00D250AD"/>
    <w:rsid w:val="00D258BB"/>
    <w:rsid w:val="00D25F76"/>
    <w:rsid w:val="00D3075E"/>
    <w:rsid w:val="00D30A5B"/>
    <w:rsid w:val="00D30D5A"/>
    <w:rsid w:val="00D31049"/>
    <w:rsid w:val="00D33960"/>
    <w:rsid w:val="00D346D4"/>
    <w:rsid w:val="00D35665"/>
    <w:rsid w:val="00D36FBF"/>
    <w:rsid w:val="00D4135E"/>
    <w:rsid w:val="00D425D7"/>
    <w:rsid w:val="00D43824"/>
    <w:rsid w:val="00D43AD9"/>
    <w:rsid w:val="00D44CBE"/>
    <w:rsid w:val="00D44F8B"/>
    <w:rsid w:val="00D45617"/>
    <w:rsid w:val="00D46C7B"/>
    <w:rsid w:val="00D5014D"/>
    <w:rsid w:val="00D510DA"/>
    <w:rsid w:val="00D52AF0"/>
    <w:rsid w:val="00D52E3B"/>
    <w:rsid w:val="00D5344C"/>
    <w:rsid w:val="00D53511"/>
    <w:rsid w:val="00D557DF"/>
    <w:rsid w:val="00D56BB1"/>
    <w:rsid w:val="00D6111F"/>
    <w:rsid w:val="00D62B98"/>
    <w:rsid w:val="00D62CEE"/>
    <w:rsid w:val="00D6546D"/>
    <w:rsid w:val="00D65D0D"/>
    <w:rsid w:val="00D70C31"/>
    <w:rsid w:val="00D727D8"/>
    <w:rsid w:val="00D73B08"/>
    <w:rsid w:val="00D745D1"/>
    <w:rsid w:val="00D74CBB"/>
    <w:rsid w:val="00D75E7A"/>
    <w:rsid w:val="00D7643C"/>
    <w:rsid w:val="00D80619"/>
    <w:rsid w:val="00D8104F"/>
    <w:rsid w:val="00D81EEC"/>
    <w:rsid w:val="00D829CE"/>
    <w:rsid w:val="00D878C3"/>
    <w:rsid w:val="00D9288B"/>
    <w:rsid w:val="00D94CB2"/>
    <w:rsid w:val="00D96A88"/>
    <w:rsid w:val="00D96C52"/>
    <w:rsid w:val="00D9750E"/>
    <w:rsid w:val="00DA0534"/>
    <w:rsid w:val="00DA45E9"/>
    <w:rsid w:val="00DA560D"/>
    <w:rsid w:val="00DB2BC7"/>
    <w:rsid w:val="00DB312B"/>
    <w:rsid w:val="00DB337C"/>
    <w:rsid w:val="00DB6102"/>
    <w:rsid w:val="00DB6D48"/>
    <w:rsid w:val="00DB7D9F"/>
    <w:rsid w:val="00DC12A4"/>
    <w:rsid w:val="00DC2E29"/>
    <w:rsid w:val="00DC7815"/>
    <w:rsid w:val="00DD2962"/>
    <w:rsid w:val="00DD493C"/>
    <w:rsid w:val="00DD4B67"/>
    <w:rsid w:val="00DD72E5"/>
    <w:rsid w:val="00DE0A2A"/>
    <w:rsid w:val="00DE1488"/>
    <w:rsid w:val="00DE18A6"/>
    <w:rsid w:val="00DE33B3"/>
    <w:rsid w:val="00DE763A"/>
    <w:rsid w:val="00DE7B53"/>
    <w:rsid w:val="00DF062A"/>
    <w:rsid w:val="00DF15A0"/>
    <w:rsid w:val="00DF2AE1"/>
    <w:rsid w:val="00DF2B48"/>
    <w:rsid w:val="00DF2C5A"/>
    <w:rsid w:val="00DF4333"/>
    <w:rsid w:val="00DF6A02"/>
    <w:rsid w:val="00E01EFE"/>
    <w:rsid w:val="00E04EEB"/>
    <w:rsid w:val="00E05491"/>
    <w:rsid w:val="00E06598"/>
    <w:rsid w:val="00E067A6"/>
    <w:rsid w:val="00E07C04"/>
    <w:rsid w:val="00E1015E"/>
    <w:rsid w:val="00E128C3"/>
    <w:rsid w:val="00E1429A"/>
    <w:rsid w:val="00E161D2"/>
    <w:rsid w:val="00E169F4"/>
    <w:rsid w:val="00E16F9E"/>
    <w:rsid w:val="00E17987"/>
    <w:rsid w:val="00E228B8"/>
    <w:rsid w:val="00E26526"/>
    <w:rsid w:val="00E30389"/>
    <w:rsid w:val="00E32226"/>
    <w:rsid w:val="00E330EF"/>
    <w:rsid w:val="00E348C3"/>
    <w:rsid w:val="00E36558"/>
    <w:rsid w:val="00E438B9"/>
    <w:rsid w:val="00E50C51"/>
    <w:rsid w:val="00E545E4"/>
    <w:rsid w:val="00E60AA3"/>
    <w:rsid w:val="00E61D18"/>
    <w:rsid w:val="00E61EC7"/>
    <w:rsid w:val="00E63CF3"/>
    <w:rsid w:val="00E64A75"/>
    <w:rsid w:val="00E6516A"/>
    <w:rsid w:val="00E67E9F"/>
    <w:rsid w:val="00E70EA2"/>
    <w:rsid w:val="00E715FF"/>
    <w:rsid w:val="00E72CEC"/>
    <w:rsid w:val="00E76ADB"/>
    <w:rsid w:val="00E76EC2"/>
    <w:rsid w:val="00E8015D"/>
    <w:rsid w:val="00E83653"/>
    <w:rsid w:val="00E84333"/>
    <w:rsid w:val="00E85A59"/>
    <w:rsid w:val="00E85BEA"/>
    <w:rsid w:val="00E8697F"/>
    <w:rsid w:val="00E90D5D"/>
    <w:rsid w:val="00E91E2D"/>
    <w:rsid w:val="00EA1279"/>
    <w:rsid w:val="00EA1457"/>
    <w:rsid w:val="00EA2598"/>
    <w:rsid w:val="00EA30A6"/>
    <w:rsid w:val="00EA4E24"/>
    <w:rsid w:val="00EA69B6"/>
    <w:rsid w:val="00EB48A8"/>
    <w:rsid w:val="00EB5E79"/>
    <w:rsid w:val="00EC01A9"/>
    <w:rsid w:val="00EC30CC"/>
    <w:rsid w:val="00EC3688"/>
    <w:rsid w:val="00EC604A"/>
    <w:rsid w:val="00EC7E71"/>
    <w:rsid w:val="00ED03A9"/>
    <w:rsid w:val="00ED21E7"/>
    <w:rsid w:val="00ED3481"/>
    <w:rsid w:val="00ED646E"/>
    <w:rsid w:val="00ED741E"/>
    <w:rsid w:val="00EE0A88"/>
    <w:rsid w:val="00EE0AB3"/>
    <w:rsid w:val="00EE22CD"/>
    <w:rsid w:val="00EE2311"/>
    <w:rsid w:val="00EE27EF"/>
    <w:rsid w:val="00EE33D7"/>
    <w:rsid w:val="00EE775F"/>
    <w:rsid w:val="00EF0FFC"/>
    <w:rsid w:val="00EF422C"/>
    <w:rsid w:val="00EF6038"/>
    <w:rsid w:val="00EF7B03"/>
    <w:rsid w:val="00F00C2C"/>
    <w:rsid w:val="00F07504"/>
    <w:rsid w:val="00F07567"/>
    <w:rsid w:val="00F102B6"/>
    <w:rsid w:val="00F10354"/>
    <w:rsid w:val="00F1443D"/>
    <w:rsid w:val="00F16D7B"/>
    <w:rsid w:val="00F215D2"/>
    <w:rsid w:val="00F2262D"/>
    <w:rsid w:val="00F27207"/>
    <w:rsid w:val="00F3188B"/>
    <w:rsid w:val="00F32638"/>
    <w:rsid w:val="00F32D1C"/>
    <w:rsid w:val="00F346A3"/>
    <w:rsid w:val="00F3726C"/>
    <w:rsid w:val="00F37CAD"/>
    <w:rsid w:val="00F40B5B"/>
    <w:rsid w:val="00F417CB"/>
    <w:rsid w:val="00F4227C"/>
    <w:rsid w:val="00F427FC"/>
    <w:rsid w:val="00F42B59"/>
    <w:rsid w:val="00F449FC"/>
    <w:rsid w:val="00F44D3B"/>
    <w:rsid w:val="00F511FC"/>
    <w:rsid w:val="00F513DD"/>
    <w:rsid w:val="00F53566"/>
    <w:rsid w:val="00F53A2A"/>
    <w:rsid w:val="00F54532"/>
    <w:rsid w:val="00F5458A"/>
    <w:rsid w:val="00F54B0F"/>
    <w:rsid w:val="00F54CE3"/>
    <w:rsid w:val="00F6189B"/>
    <w:rsid w:val="00F63C70"/>
    <w:rsid w:val="00F65549"/>
    <w:rsid w:val="00F702DD"/>
    <w:rsid w:val="00F7120C"/>
    <w:rsid w:val="00F7243B"/>
    <w:rsid w:val="00F72CC2"/>
    <w:rsid w:val="00F74E0A"/>
    <w:rsid w:val="00F766B1"/>
    <w:rsid w:val="00F767DF"/>
    <w:rsid w:val="00F76C94"/>
    <w:rsid w:val="00F84219"/>
    <w:rsid w:val="00F8506F"/>
    <w:rsid w:val="00F864AC"/>
    <w:rsid w:val="00F866A8"/>
    <w:rsid w:val="00F938B4"/>
    <w:rsid w:val="00F94C14"/>
    <w:rsid w:val="00FA0183"/>
    <w:rsid w:val="00FA14C0"/>
    <w:rsid w:val="00FA5F16"/>
    <w:rsid w:val="00FB02CA"/>
    <w:rsid w:val="00FB111E"/>
    <w:rsid w:val="00FB32C2"/>
    <w:rsid w:val="00FB5B3F"/>
    <w:rsid w:val="00FB7358"/>
    <w:rsid w:val="00FC0838"/>
    <w:rsid w:val="00FC22A6"/>
    <w:rsid w:val="00FC3C97"/>
    <w:rsid w:val="00FC5C76"/>
    <w:rsid w:val="00FC7955"/>
    <w:rsid w:val="00FD09CF"/>
    <w:rsid w:val="00FD196D"/>
    <w:rsid w:val="00FD1D94"/>
    <w:rsid w:val="00FD2AE9"/>
    <w:rsid w:val="00FD50CA"/>
    <w:rsid w:val="00FD5C04"/>
    <w:rsid w:val="00FD6A18"/>
    <w:rsid w:val="00FE005E"/>
    <w:rsid w:val="00FE07A4"/>
    <w:rsid w:val="00FE1755"/>
    <w:rsid w:val="00FE1B91"/>
    <w:rsid w:val="00FE2B7D"/>
    <w:rsid w:val="00FE6B12"/>
    <w:rsid w:val="00FE719C"/>
    <w:rsid w:val="00FE728B"/>
    <w:rsid w:val="00FE780D"/>
    <w:rsid w:val="00FE7D09"/>
    <w:rsid w:val="00FF3D72"/>
    <w:rsid w:val="00FF424C"/>
    <w:rsid w:val="00FF448D"/>
    <w:rsid w:val="00FF4DE0"/>
    <w:rsid w:val="00FF64F2"/>
    <w:rsid w:val="00FF748B"/>
    <w:rsid w:val="00FF7FB3"/>
    <w:rsid w:val="013755CF"/>
    <w:rsid w:val="01973236"/>
    <w:rsid w:val="035D28A2"/>
    <w:rsid w:val="03A14424"/>
    <w:rsid w:val="03E822B9"/>
    <w:rsid w:val="0471165E"/>
    <w:rsid w:val="0494686D"/>
    <w:rsid w:val="04B16069"/>
    <w:rsid w:val="04D8410D"/>
    <w:rsid w:val="07255F9B"/>
    <w:rsid w:val="08405B42"/>
    <w:rsid w:val="09365BE3"/>
    <w:rsid w:val="093A71D7"/>
    <w:rsid w:val="09B96DF1"/>
    <w:rsid w:val="0A5A5EFF"/>
    <w:rsid w:val="0ACD1FC6"/>
    <w:rsid w:val="0B42358C"/>
    <w:rsid w:val="0BC35CD1"/>
    <w:rsid w:val="0C4B75A9"/>
    <w:rsid w:val="0C5C13B5"/>
    <w:rsid w:val="0C696879"/>
    <w:rsid w:val="0D183A7F"/>
    <w:rsid w:val="0D480B99"/>
    <w:rsid w:val="0E3724BD"/>
    <w:rsid w:val="0F2543F9"/>
    <w:rsid w:val="12202666"/>
    <w:rsid w:val="13817DFA"/>
    <w:rsid w:val="14341B5E"/>
    <w:rsid w:val="148D3186"/>
    <w:rsid w:val="14B30EDA"/>
    <w:rsid w:val="14C84B29"/>
    <w:rsid w:val="15021189"/>
    <w:rsid w:val="15D1798D"/>
    <w:rsid w:val="165630CA"/>
    <w:rsid w:val="16635363"/>
    <w:rsid w:val="16C231A3"/>
    <w:rsid w:val="17924243"/>
    <w:rsid w:val="17952863"/>
    <w:rsid w:val="17E431B9"/>
    <w:rsid w:val="17E44284"/>
    <w:rsid w:val="181C764A"/>
    <w:rsid w:val="18541CF7"/>
    <w:rsid w:val="18EF397F"/>
    <w:rsid w:val="19C07C3F"/>
    <w:rsid w:val="19C341C4"/>
    <w:rsid w:val="1A321258"/>
    <w:rsid w:val="1A8104CC"/>
    <w:rsid w:val="1AA52462"/>
    <w:rsid w:val="1ABB76F2"/>
    <w:rsid w:val="1AD64738"/>
    <w:rsid w:val="1B5F4B49"/>
    <w:rsid w:val="1B723369"/>
    <w:rsid w:val="1BD57580"/>
    <w:rsid w:val="1BDA2215"/>
    <w:rsid w:val="1BF72815"/>
    <w:rsid w:val="1BFA01FD"/>
    <w:rsid w:val="1D481014"/>
    <w:rsid w:val="1DB33C75"/>
    <w:rsid w:val="1E303BAE"/>
    <w:rsid w:val="1E6D3AF2"/>
    <w:rsid w:val="1F857A6F"/>
    <w:rsid w:val="20005B9E"/>
    <w:rsid w:val="205D7A71"/>
    <w:rsid w:val="20F875A6"/>
    <w:rsid w:val="224A1D02"/>
    <w:rsid w:val="224F130E"/>
    <w:rsid w:val="22E67A8C"/>
    <w:rsid w:val="22E969B4"/>
    <w:rsid w:val="23496D32"/>
    <w:rsid w:val="23A0365A"/>
    <w:rsid w:val="23A4305B"/>
    <w:rsid w:val="23FC3F7E"/>
    <w:rsid w:val="248A7CA6"/>
    <w:rsid w:val="25766892"/>
    <w:rsid w:val="25B6448E"/>
    <w:rsid w:val="25D90622"/>
    <w:rsid w:val="268E37DD"/>
    <w:rsid w:val="27707E5F"/>
    <w:rsid w:val="27B36F9E"/>
    <w:rsid w:val="289A1775"/>
    <w:rsid w:val="29017C6D"/>
    <w:rsid w:val="2A5711C8"/>
    <w:rsid w:val="2A9459F3"/>
    <w:rsid w:val="2AC036CC"/>
    <w:rsid w:val="2B013245"/>
    <w:rsid w:val="2C8021C3"/>
    <w:rsid w:val="2CC364D7"/>
    <w:rsid w:val="2D4D29F3"/>
    <w:rsid w:val="2D574CDC"/>
    <w:rsid w:val="2D693302"/>
    <w:rsid w:val="2E156E28"/>
    <w:rsid w:val="2E206C53"/>
    <w:rsid w:val="2E510462"/>
    <w:rsid w:val="2E520B86"/>
    <w:rsid w:val="2ED414B6"/>
    <w:rsid w:val="2EEE4799"/>
    <w:rsid w:val="2F120A79"/>
    <w:rsid w:val="2F1A364B"/>
    <w:rsid w:val="2F3A24A4"/>
    <w:rsid w:val="2F782D7F"/>
    <w:rsid w:val="303D4E5F"/>
    <w:rsid w:val="304B67C4"/>
    <w:rsid w:val="30536548"/>
    <w:rsid w:val="30870135"/>
    <w:rsid w:val="31152B85"/>
    <w:rsid w:val="3116334E"/>
    <w:rsid w:val="324D575D"/>
    <w:rsid w:val="32592125"/>
    <w:rsid w:val="32641169"/>
    <w:rsid w:val="32847A8A"/>
    <w:rsid w:val="32E274A4"/>
    <w:rsid w:val="3358037F"/>
    <w:rsid w:val="3379109B"/>
    <w:rsid w:val="33A33DDE"/>
    <w:rsid w:val="34713FCB"/>
    <w:rsid w:val="34AB4544"/>
    <w:rsid w:val="350970C3"/>
    <w:rsid w:val="35390184"/>
    <w:rsid w:val="35D817EE"/>
    <w:rsid w:val="377E5B23"/>
    <w:rsid w:val="37D81E5C"/>
    <w:rsid w:val="386F4830"/>
    <w:rsid w:val="389060FF"/>
    <w:rsid w:val="38CD1989"/>
    <w:rsid w:val="39082167"/>
    <w:rsid w:val="39574B67"/>
    <w:rsid w:val="39EF3740"/>
    <w:rsid w:val="3ACE355E"/>
    <w:rsid w:val="3AE949B4"/>
    <w:rsid w:val="3D520299"/>
    <w:rsid w:val="3E450D38"/>
    <w:rsid w:val="3EBD270D"/>
    <w:rsid w:val="3F3A5546"/>
    <w:rsid w:val="3F6A2255"/>
    <w:rsid w:val="3FD165A1"/>
    <w:rsid w:val="3FF65913"/>
    <w:rsid w:val="40107BAE"/>
    <w:rsid w:val="40882204"/>
    <w:rsid w:val="40F16B66"/>
    <w:rsid w:val="4187094E"/>
    <w:rsid w:val="419B71FA"/>
    <w:rsid w:val="42BA6306"/>
    <w:rsid w:val="430750B6"/>
    <w:rsid w:val="431829AE"/>
    <w:rsid w:val="435B4067"/>
    <w:rsid w:val="43B0063B"/>
    <w:rsid w:val="43CF2CB6"/>
    <w:rsid w:val="449A3A86"/>
    <w:rsid w:val="44A17B45"/>
    <w:rsid w:val="45187984"/>
    <w:rsid w:val="4545512A"/>
    <w:rsid w:val="45E854D1"/>
    <w:rsid w:val="46242655"/>
    <w:rsid w:val="46752147"/>
    <w:rsid w:val="46955087"/>
    <w:rsid w:val="4704371C"/>
    <w:rsid w:val="47125CCF"/>
    <w:rsid w:val="47593423"/>
    <w:rsid w:val="477A66D2"/>
    <w:rsid w:val="483F6583"/>
    <w:rsid w:val="484D6B1B"/>
    <w:rsid w:val="490B45E4"/>
    <w:rsid w:val="4B4F2B2A"/>
    <w:rsid w:val="4BC229A2"/>
    <w:rsid w:val="4C1B4769"/>
    <w:rsid w:val="4D4E5D63"/>
    <w:rsid w:val="4DC0019C"/>
    <w:rsid w:val="4DFB417E"/>
    <w:rsid w:val="4EB07B18"/>
    <w:rsid w:val="4F1048C2"/>
    <w:rsid w:val="4F330B02"/>
    <w:rsid w:val="508552F1"/>
    <w:rsid w:val="51914699"/>
    <w:rsid w:val="520C7638"/>
    <w:rsid w:val="521558B0"/>
    <w:rsid w:val="523C5C71"/>
    <w:rsid w:val="528D5583"/>
    <w:rsid w:val="52FE2DA3"/>
    <w:rsid w:val="53A40E76"/>
    <w:rsid w:val="53DE7791"/>
    <w:rsid w:val="5413477D"/>
    <w:rsid w:val="54834EC8"/>
    <w:rsid w:val="54EA72A1"/>
    <w:rsid w:val="55080850"/>
    <w:rsid w:val="5593076D"/>
    <w:rsid w:val="5657139F"/>
    <w:rsid w:val="56A40687"/>
    <w:rsid w:val="57786FFC"/>
    <w:rsid w:val="57B100FD"/>
    <w:rsid w:val="58153687"/>
    <w:rsid w:val="58A21C29"/>
    <w:rsid w:val="58B12726"/>
    <w:rsid w:val="58C47FA1"/>
    <w:rsid w:val="58EF25DE"/>
    <w:rsid w:val="59332642"/>
    <w:rsid w:val="5993108D"/>
    <w:rsid w:val="5A094EC2"/>
    <w:rsid w:val="5A8B66B2"/>
    <w:rsid w:val="5AB05814"/>
    <w:rsid w:val="5ACC4CCB"/>
    <w:rsid w:val="5AEE53A6"/>
    <w:rsid w:val="5C3138F0"/>
    <w:rsid w:val="5CAC0C49"/>
    <w:rsid w:val="5DA47DF2"/>
    <w:rsid w:val="5DD7176F"/>
    <w:rsid w:val="5E542EDB"/>
    <w:rsid w:val="5E560CC9"/>
    <w:rsid w:val="5EB83E46"/>
    <w:rsid w:val="5EC62EC7"/>
    <w:rsid w:val="5EE0582C"/>
    <w:rsid w:val="5EEE17FB"/>
    <w:rsid w:val="5F353926"/>
    <w:rsid w:val="5FAD65FE"/>
    <w:rsid w:val="5FF25024"/>
    <w:rsid w:val="606017A5"/>
    <w:rsid w:val="60A105F8"/>
    <w:rsid w:val="6146069E"/>
    <w:rsid w:val="619751D6"/>
    <w:rsid w:val="62540516"/>
    <w:rsid w:val="62EE793B"/>
    <w:rsid w:val="63983855"/>
    <w:rsid w:val="6398393A"/>
    <w:rsid w:val="64767BB0"/>
    <w:rsid w:val="65026063"/>
    <w:rsid w:val="65510B2E"/>
    <w:rsid w:val="65F6522A"/>
    <w:rsid w:val="661526BC"/>
    <w:rsid w:val="66BD7788"/>
    <w:rsid w:val="66D00B70"/>
    <w:rsid w:val="67497AC0"/>
    <w:rsid w:val="67DA15D2"/>
    <w:rsid w:val="6806309F"/>
    <w:rsid w:val="68583AB0"/>
    <w:rsid w:val="68875DDA"/>
    <w:rsid w:val="68D24001"/>
    <w:rsid w:val="692F0CC7"/>
    <w:rsid w:val="69DA57FF"/>
    <w:rsid w:val="6A4B2DEC"/>
    <w:rsid w:val="6A5411B9"/>
    <w:rsid w:val="6A9C2068"/>
    <w:rsid w:val="6AA01913"/>
    <w:rsid w:val="6AB064A3"/>
    <w:rsid w:val="6B492D70"/>
    <w:rsid w:val="6C69238A"/>
    <w:rsid w:val="6CCE3482"/>
    <w:rsid w:val="6DA57785"/>
    <w:rsid w:val="6E0C5561"/>
    <w:rsid w:val="6E4E492C"/>
    <w:rsid w:val="6E540083"/>
    <w:rsid w:val="6F7529EB"/>
    <w:rsid w:val="6F8241AC"/>
    <w:rsid w:val="6FC1542C"/>
    <w:rsid w:val="6FD8023D"/>
    <w:rsid w:val="70A03FB6"/>
    <w:rsid w:val="70AA6598"/>
    <w:rsid w:val="716D0FB5"/>
    <w:rsid w:val="717D4B3C"/>
    <w:rsid w:val="71A43AA6"/>
    <w:rsid w:val="71C671EE"/>
    <w:rsid w:val="71F5020B"/>
    <w:rsid w:val="72002F3E"/>
    <w:rsid w:val="7276762F"/>
    <w:rsid w:val="728A30A5"/>
    <w:rsid w:val="72C52CD5"/>
    <w:rsid w:val="731B5FA8"/>
    <w:rsid w:val="732F2CDC"/>
    <w:rsid w:val="73D651FC"/>
    <w:rsid w:val="74420B97"/>
    <w:rsid w:val="74834DA2"/>
    <w:rsid w:val="74AA0168"/>
    <w:rsid w:val="74C21263"/>
    <w:rsid w:val="75073536"/>
    <w:rsid w:val="756747EF"/>
    <w:rsid w:val="75900BE6"/>
    <w:rsid w:val="76591B8D"/>
    <w:rsid w:val="76DE5EEA"/>
    <w:rsid w:val="773F3C4B"/>
    <w:rsid w:val="77AD1929"/>
    <w:rsid w:val="77D0292E"/>
    <w:rsid w:val="77DD4763"/>
    <w:rsid w:val="796C7BA9"/>
    <w:rsid w:val="798244C6"/>
    <w:rsid w:val="798A3459"/>
    <w:rsid w:val="7A0B4225"/>
    <w:rsid w:val="7A0F25EE"/>
    <w:rsid w:val="7AE43C2C"/>
    <w:rsid w:val="7B982FC8"/>
    <w:rsid w:val="7C1275C4"/>
    <w:rsid w:val="7C634810"/>
    <w:rsid w:val="7CA1667F"/>
    <w:rsid w:val="7D015405"/>
    <w:rsid w:val="7D1847B2"/>
    <w:rsid w:val="7D505241"/>
    <w:rsid w:val="7D6C510D"/>
    <w:rsid w:val="7D745512"/>
    <w:rsid w:val="7D913B33"/>
    <w:rsid w:val="7E515C94"/>
    <w:rsid w:val="7E8A2ED1"/>
    <w:rsid w:val="7E8B256A"/>
    <w:rsid w:val="7EBF5FBA"/>
    <w:rsid w:val="7FAD0D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uiPriority="99" w:name="footnote text"/>
    <w:lsdException w:qFormat="1" w:uiPriority="99"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iPriority="0" w:semiHidden="0" w:name="Body Text First Indent"/>
    <w:lsdException w:uiPriority="99" w:name="Body Text First Indent 2"/>
    <w:lsdException w:uiPriority="99" w:name="Note Heading"/>
    <w:lsdException w:uiPriority="99" w:name="Body Text 2"/>
    <w:lsdException w:qFormat="1" w:uiPriority="99"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8"/>
    <w:qFormat/>
    <w:uiPriority w:val="0"/>
    <w:pPr>
      <w:keepNext/>
      <w:keepLines/>
      <w:spacing w:before="340" w:after="330" w:line="578" w:lineRule="auto"/>
      <w:outlineLvl w:val="0"/>
    </w:pPr>
    <w:rPr>
      <w:b/>
      <w:bCs/>
      <w:kern w:val="44"/>
      <w:sz w:val="44"/>
      <w:szCs w:val="44"/>
    </w:rPr>
  </w:style>
  <w:style w:type="paragraph" w:styleId="3">
    <w:name w:val="heading 2"/>
    <w:basedOn w:val="1"/>
    <w:next w:val="4"/>
    <w:link w:val="51"/>
    <w:qFormat/>
    <w:uiPriority w:val="9"/>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52"/>
    <w:qFormat/>
    <w:uiPriority w:val="0"/>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6">
    <w:name w:val="heading 4"/>
    <w:basedOn w:val="1"/>
    <w:next w:val="1"/>
    <w:link w:val="53"/>
    <w:qFormat/>
    <w:uiPriority w:val="0"/>
    <w:pPr>
      <w:keepNext/>
      <w:outlineLvl w:val="3"/>
    </w:pPr>
    <w:rPr>
      <w:sz w:val="28"/>
      <w:szCs w:val="20"/>
    </w:rPr>
  </w:style>
  <w:style w:type="paragraph" w:styleId="7">
    <w:name w:val="heading 5"/>
    <w:basedOn w:val="1"/>
    <w:next w:val="1"/>
    <w:link w:val="54"/>
    <w:qFormat/>
    <w:uiPriority w:val="0"/>
    <w:pPr>
      <w:keepNext/>
      <w:keepLines/>
      <w:spacing w:before="280" w:after="290" w:line="376" w:lineRule="auto"/>
      <w:outlineLvl w:val="4"/>
    </w:pPr>
    <w:rPr>
      <w:b/>
      <w:bCs/>
      <w:sz w:val="28"/>
      <w:szCs w:val="28"/>
    </w:rPr>
  </w:style>
  <w:style w:type="paragraph" w:styleId="8">
    <w:name w:val="heading 6"/>
    <w:basedOn w:val="1"/>
    <w:next w:val="1"/>
    <w:link w:val="55"/>
    <w:qFormat/>
    <w:uiPriority w:val="0"/>
    <w:pPr>
      <w:keepNext/>
      <w:keepLines/>
      <w:spacing w:before="240" w:after="64" w:line="320" w:lineRule="auto"/>
      <w:outlineLvl w:val="5"/>
    </w:pPr>
    <w:rPr>
      <w:rFonts w:ascii="Arial" w:hAnsi="Arial" w:eastAsia="黑体"/>
      <w:b/>
      <w:bCs/>
      <w:sz w:val="24"/>
    </w:rPr>
  </w:style>
  <w:style w:type="paragraph" w:styleId="9">
    <w:name w:val="heading 7"/>
    <w:basedOn w:val="1"/>
    <w:next w:val="1"/>
    <w:link w:val="56"/>
    <w:qFormat/>
    <w:uiPriority w:val="0"/>
    <w:pPr>
      <w:keepNext/>
      <w:keepLines/>
      <w:spacing w:before="240" w:after="64" w:line="320" w:lineRule="auto"/>
      <w:outlineLvl w:val="6"/>
    </w:pPr>
    <w:rPr>
      <w:b/>
      <w:bCs/>
      <w:sz w:val="24"/>
    </w:rPr>
  </w:style>
  <w:style w:type="paragraph" w:styleId="10">
    <w:name w:val="heading 8"/>
    <w:basedOn w:val="1"/>
    <w:next w:val="1"/>
    <w:link w:val="57"/>
    <w:qFormat/>
    <w:uiPriority w:val="0"/>
    <w:pPr>
      <w:keepNext/>
      <w:keepLines/>
      <w:spacing w:before="240" w:after="64" w:line="320" w:lineRule="auto"/>
      <w:outlineLvl w:val="7"/>
    </w:pPr>
    <w:rPr>
      <w:rFonts w:ascii="Arial" w:hAnsi="Arial" w:eastAsia="黑体"/>
      <w:sz w:val="24"/>
    </w:rPr>
  </w:style>
  <w:style w:type="paragraph" w:styleId="11">
    <w:name w:val="heading 9"/>
    <w:basedOn w:val="1"/>
    <w:next w:val="1"/>
    <w:link w:val="58"/>
    <w:qFormat/>
    <w:uiPriority w:val="0"/>
    <w:pPr>
      <w:keepNext/>
      <w:keepLines/>
      <w:spacing w:before="240" w:after="64" w:line="320" w:lineRule="auto"/>
      <w:outlineLvl w:val="8"/>
    </w:pPr>
    <w:rPr>
      <w:rFonts w:ascii="Arial" w:hAnsi="Arial" w:eastAsia="黑体"/>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99"/>
    <w:pPr>
      <w:autoSpaceDE w:val="0"/>
      <w:autoSpaceDN w:val="0"/>
      <w:adjustRightInd w:val="0"/>
      <w:spacing w:line="315" w:lineRule="atLeast"/>
      <w:ind w:firstLine="420"/>
      <w:jc w:val="left"/>
    </w:pPr>
    <w:rPr>
      <w:rFonts w:ascii="楷体_GB2312" w:eastAsia="楷体_GB2312"/>
      <w:kern w:val="0"/>
      <w:sz w:val="28"/>
      <w:szCs w:val="20"/>
    </w:rPr>
  </w:style>
  <w:style w:type="paragraph" w:styleId="12">
    <w:name w:val="toc 7"/>
    <w:basedOn w:val="1"/>
    <w:next w:val="1"/>
    <w:unhideWhenUsed/>
    <w:qFormat/>
    <w:uiPriority w:val="39"/>
    <w:pPr>
      <w:ind w:left="2520" w:leftChars="1200"/>
    </w:pPr>
    <w:rPr>
      <w:rFonts w:ascii="Calibri" w:hAnsi="Calibri"/>
      <w:szCs w:val="22"/>
    </w:rPr>
  </w:style>
  <w:style w:type="paragraph" w:styleId="13">
    <w:name w:val="Document Map"/>
    <w:basedOn w:val="1"/>
    <w:link w:val="63"/>
    <w:semiHidden/>
    <w:qFormat/>
    <w:uiPriority w:val="0"/>
    <w:rPr>
      <w:rFonts w:ascii="宋体"/>
      <w:sz w:val="18"/>
      <w:szCs w:val="18"/>
    </w:rPr>
  </w:style>
  <w:style w:type="paragraph" w:styleId="14">
    <w:name w:val="annotation text"/>
    <w:basedOn w:val="1"/>
    <w:link w:val="61"/>
    <w:unhideWhenUsed/>
    <w:qFormat/>
    <w:uiPriority w:val="99"/>
    <w:pPr>
      <w:jc w:val="left"/>
    </w:pPr>
  </w:style>
  <w:style w:type="paragraph" w:styleId="15">
    <w:name w:val="Body Text 3"/>
    <w:basedOn w:val="1"/>
    <w:link w:val="87"/>
    <w:unhideWhenUsed/>
    <w:qFormat/>
    <w:uiPriority w:val="99"/>
    <w:pPr>
      <w:spacing w:after="120"/>
    </w:pPr>
    <w:rPr>
      <w:sz w:val="16"/>
      <w:szCs w:val="16"/>
    </w:rPr>
  </w:style>
  <w:style w:type="paragraph" w:styleId="16">
    <w:name w:val="Body Text"/>
    <w:basedOn w:val="1"/>
    <w:link w:val="64"/>
    <w:qFormat/>
    <w:uiPriority w:val="0"/>
    <w:rPr>
      <w:sz w:val="28"/>
      <w:szCs w:val="20"/>
    </w:rPr>
  </w:style>
  <w:style w:type="paragraph" w:styleId="17">
    <w:name w:val="Body Text Indent"/>
    <w:basedOn w:val="1"/>
    <w:link w:val="65"/>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styleId="18">
    <w:name w:val="List 2"/>
    <w:basedOn w:val="1"/>
    <w:qFormat/>
    <w:uiPriority w:val="0"/>
    <w:pPr>
      <w:ind w:left="100" w:leftChars="200" w:hanging="200" w:hangingChars="200"/>
    </w:pPr>
  </w:style>
  <w:style w:type="paragraph" w:styleId="19">
    <w:name w:val="toc 5"/>
    <w:basedOn w:val="1"/>
    <w:next w:val="1"/>
    <w:unhideWhenUsed/>
    <w:qFormat/>
    <w:uiPriority w:val="39"/>
    <w:pPr>
      <w:ind w:left="1680" w:leftChars="800"/>
    </w:pPr>
    <w:rPr>
      <w:rFonts w:ascii="Calibri" w:hAnsi="Calibri"/>
      <w:szCs w:val="22"/>
    </w:rPr>
  </w:style>
  <w:style w:type="paragraph" w:styleId="20">
    <w:name w:val="toc 3"/>
    <w:basedOn w:val="1"/>
    <w:next w:val="1"/>
    <w:unhideWhenUsed/>
    <w:qFormat/>
    <w:uiPriority w:val="39"/>
    <w:pPr>
      <w:widowControl/>
      <w:snapToGrid w:val="0"/>
      <w:spacing w:line="440" w:lineRule="exact"/>
      <w:ind w:left="442"/>
      <w:jc w:val="left"/>
    </w:pPr>
    <w:rPr>
      <w:rFonts w:asciiTheme="minorHAnsi" w:hAnsiTheme="minorHAnsi" w:cstheme="minorBidi"/>
      <w:kern w:val="0"/>
      <w:szCs w:val="22"/>
    </w:rPr>
  </w:style>
  <w:style w:type="paragraph" w:styleId="21">
    <w:name w:val="Plain Text"/>
    <w:basedOn w:val="1"/>
    <w:link w:val="66"/>
    <w:qFormat/>
    <w:uiPriority w:val="0"/>
    <w:rPr>
      <w:rFonts w:ascii="宋体" w:hAnsi="Courier New"/>
      <w:szCs w:val="20"/>
    </w:rPr>
  </w:style>
  <w:style w:type="paragraph" w:styleId="22">
    <w:name w:val="toc 8"/>
    <w:basedOn w:val="1"/>
    <w:next w:val="1"/>
    <w:unhideWhenUsed/>
    <w:qFormat/>
    <w:uiPriority w:val="39"/>
    <w:pPr>
      <w:ind w:left="2940" w:leftChars="1400"/>
    </w:pPr>
    <w:rPr>
      <w:rFonts w:ascii="Calibri" w:hAnsi="Calibri"/>
      <w:szCs w:val="22"/>
    </w:rPr>
  </w:style>
  <w:style w:type="paragraph" w:styleId="23">
    <w:name w:val="Date"/>
    <w:basedOn w:val="1"/>
    <w:next w:val="1"/>
    <w:link w:val="67"/>
    <w:qFormat/>
    <w:uiPriority w:val="0"/>
    <w:pPr>
      <w:ind w:left="100" w:leftChars="2500"/>
    </w:pPr>
    <w:rPr>
      <w:szCs w:val="20"/>
    </w:rPr>
  </w:style>
  <w:style w:type="paragraph" w:styleId="24">
    <w:name w:val="Body Text Indent 2"/>
    <w:basedOn w:val="1"/>
    <w:link w:val="68"/>
    <w:qFormat/>
    <w:uiPriority w:val="0"/>
    <w:pPr>
      <w:spacing w:line="480" w:lineRule="auto"/>
      <w:ind w:firstLine="480" w:firstLineChars="200"/>
    </w:pPr>
    <w:rPr>
      <w:rFonts w:ascii="仿宋_GB2312" w:hAnsi="宋体" w:eastAsia="仿宋_GB2312"/>
      <w:sz w:val="24"/>
    </w:rPr>
  </w:style>
  <w:style w:type="paragraph" w:styleId="25">
    <w:name w:val="Balloon Text"/>
    <w:basedOn w:val="1"/>
    <w:link w:val="49"/>
    <w:unhideWhenUsed/>
    <w:qFormat/>
    <w:uiPriority w:val="0"/>
    <w:rPr>
      <w:sz w:val="18"/>
      <w:szCs w:val="18"/>
    </w:rPr>
  </w:style>
  <w:style w:type="paragraph" w:styleId="26">
    <w:name w:val="footer"/>
    <w:basedOn w:val="1"/>
    <w:link w:val="60"/>
    <w:unhideWhenUsed/>
    <w:qFormat/>
    <w:uiPriority w:val="0"/>
    <w:pPr>
      <w:tabs>
        <w:tab w:val="center" w:pos="4153"/>
        <w:tab w:val="right" w:pos="8306"/>
      </w:tabs>
      <w:snapToGrid w:val="0"/>
      <w:jc w:val="left"/>
    </w:pPr>
    <w:rPr>
      <w:sz w:val="18"/>
      <w:szCs w:val="18"/>
    </w:rPr>
  </w:style>
  <w:style w:type="paragraph" w:styleId="27">
    <w:name w:val="header"/>
    <w:basedOn w:val="1"/>
    <w:link w:val="59"/>
    <w:unhideWhenUsed/>
    <w:qFormat/>
    <w:uiPriority w:val="99"/>
    <w:pPr>
      <w:pBdr>
        <w:bottom w:val="single" w:color="auto" w:sz="6" w:space="1"/>
      </w:pBdr>
      <w:tabs>
        <w:tab w:val="center" w:pos="4153"/>
        <w:tab w:val="right" w:pos="8306"/>
      </w:tabs>
      <w:snapToGrid w:val="0"/>
      <w:jc w:val="center"/>
    </w:pPr>
    <w:rPr>
      <w:sz w:val="18"/>
      <w:szCs w:val="18"/>
    </w:rPr>
  </w:style>
  <w:style w:type="paragraph" w:styleId="28">
    <w:name w:val="toc 1"/>
    <w:basedOn w:val="1"/>
    <w:next w:val="1"/>
    <w:link w:val="97"/>
    <w:qFormat/>
    <w:uiPriority w:val="39"/>
    <w:pPr>
      <w:tabs>
        <w:tab w:val="left" w:pos="567"/>
        <w:tab w:val="left" w:pos="709"/>
        <w:tab w:val="right" w:leader="dot" w:pos="8505"/>
      </w:tabs>
      <w:snapToGrid w:val="0"/>
      <w:spacing w:line="440" w:lineRule="exact"/>
      <w:jc w:val="left"/>
    </w:pPr>
    <w:rPr>
      <w:rFonts w:ascii="宋体" w:hAnsi="宋体"/>
    </w:rPr>
  </w:style>
  <w:style w:type="paragraph" w:styleId="29">
    <w:name w:val="toc 4"/>
    <w:basedOn w:val="1"/>
    <w:next w:val="1"/>
    <w:unhideWhenUsed/>
    <w:qFormat/>
    <w:uiPriority w:val="39"/>
    <w:pPr>
      <w:ind w:left="1260" w:leftChars="600"/>
    </w:pPr>
    <w:rPr>
      <w:rFonts w:ascii="Calibri" w:hAnsi="Calibri"/>
      <w:szCs w:val="22"/>
    </w:rPr>
  </w:style>
  <w:style w:type="paragraph" w:styleId="30">
    <w:name w:val="Subtitle"/>
    <w:basedOn w:val="1"/>
    <w:next w:val="1"/>
    <w:link w:val="69"/>
    <w:qFormat/>
    <w:uiPriority w:val="0"/>
    <w:pPr>
      <w:spacing w:before="240" w:after="60" w:line="312" w:lineRule="auto"/>
      <w:jc w:val="center"/>
      <w:outlineLvl w:val="1"/>
    </w:pPr>
    <w:rPr>
      <w:rFonts w:ascii="Cambria" w:hAnsi="Cambria" w:cs="黑体"/>
      <w:b/>
      <w:bCs/>
      <w:kern w:val="28"/>
      <w:sz w:val="32"/>
      <w:szCs w:val="32"/>
    </w:rPr>
  </w:style>
  <w:style w:type="paragraph" w:styleId="31">
    <w:name w:val="toc 6"/>
    <w:basedOn w:val="1"/>
    <w:next w:val="1"/>
    <w:unhideWhenUsed/>
    <w:qFormat/>
    <w:uiPriority w:val="39"/>
    <w:pPr>
      <w:ind w:left="2100" w:leftChars="1000"/>
    </w:pPr>
    <w:rPr>
      <w:rFonts w:ascii="Calibri" w:hAnsi="Calibri"/>
      <w:szCs w:val="22"/>
    </w:rPr>
  </w:style>
  <w:style w:type="paragraph" w:styleId="32">
    <w:name w:val="Body Text Indent 3"/>
    <w:basedOn w:val="1"/>
    <w:link w:val="70"/>
    <w:qFormat/>
    <w:uiPriority w:val="0"/>
    <w:pPr>
      <w:spacing w:after="120" w:line="360" w:lineRule="atLeast"/>
      <w:ind w:firstLine="720" w:firstLineChars="300"/>
    </w:pPr>
    <w:rPr>
      <w:sz w:val="24"/>
      <w:szCs w:val="20"/>
    </w:rPr>
  </w:style>
  <w:style w:type="paragraph" w:styleId="33">
    <w:name w:val="toc 2"/>
    <w:basedOn w:val="1"/>
    <w:next w:val="1"/>
    <w:link w:val="98"/>
    <w:qFormat/>
    <w:uiPriority w:val="39"/>
    <w:pPr>
      <w:tabs>
        <w:tab w:val="left" w:pos="567"/>
        <w:tab w:val="right" w:leader="dot" w:pos="8505"/>
        <w:tab w:val="right" w:leader="dot" w:pos="9628"/>
      </w:tabs>
      <w:spacing w:line="440" w:lineRule="exact"/>
    </w:pPr>
  </w:style>
  <w:style w:type="paragraph" w:styleId="34">
    <w:name w:val="toc 9"/>
    <w:basedOn w:val="1"/>
    <w:next w:val="1"/>
    <w:unhideWhenUsed/>
    <w:qFormat/>
    <w:uiPriority w:val="39"/>
    <w:pPr>
      <w:ind w:left="3360" w:leftChars="1600"/>
    </w:pPr>
    <w:rPr>
      <w:rFonts w:ascii="Calibri" w:hAnsi="Calibri"/>
      <w:szCs w:val="22"/>
    </w:rPr>
  </w:style>
  <w:style w:type="paragraph" w:styleId="35">
    <w:name w:val="Title"/>
    <w:basedOn w:val="1"/>
    <w:next w:val="1"/>
    <w:link w:val="71"/>
    <w:qFormat/>
    <w:uiPriority w:val="0"/>
    <w:pPr>
      <w:spacing w:before="240" w:after="60"/>
      <w:jc w:val="center"/>
      <w:outlineLvl w:val="0"/>
    </w:pPr>
    <w:rPr>
      <w:rFonts w:ascii="Cambria" w:hAnsi="Cambria"/>
      <w:b/>
      <w:bCs/>
      <w:sz w:val="32"/>
      <w:szCs w:val="32"/>
    </w:rPr>
  </w:style>
  <w:style w:type="paragraph" w:styleId="36">
    <w:name w:val="annotation subject"/>
    <w:basedOn w:val="14"/>
    <w:next w:val="14"/>
    <w:link w:val="62"/>
    <w:semiHidden/>
    <w:qFormat/>
    <w:uiPriority w:val="0"/>
    <w:rPr>
      <w:b/>
      <w:bCs/>
      <w:szCs w:val="20"/>
    </w:rPr>
  </w:style>
  <w:style w:type="paragraph" w:styleId="37">
    <w:name w:val="Body Text First Indent"/>
    <w:basedOn w:val="16"/>
    <w:link w:val="100"/>
    <w:unhideWhenUsed/>
    <w:qFormat/>
    <w:uiPriority w:val="0"/>
    <w:pPr>
      <w:spacing w:after="120"/>
      <w:ind w:firstLine="420" w:firstLineChars="100"/>
    </w:pPr>
    <w:rPr>
      <w:sz w:val="21"/>
      <w:szCs w:val="24"/>
    </w:rPr>
  </w:style>
  <w:style w:type="paragraph" w:styleId="38">
    <w:name w:val="Body Text First Indent 2"/>
    <w:basedOn w:val="17"/>
    <w:link w:val="103"/>
    <w:semiHidden/>
    <w:unhideWhenUsed/>
    <w:uiPriority w:val="99"/>
    <w:pPr>
      <w:autoSpaceDE/>
      <w:autoSpaceDN/>
      <w:adjustRightInd/>
      <w:spacing w:line="240" w:lineRule="auto"/>
      <w:ind w:left="420" w:leftChars="200" w:firstLine="420" w:firstLineChars="200"/>
    </w:pPr>
    <w:rPr>
      <w:rFonts w:ascii="Times New Roman" w:eastAsia="宋体"/>
      <w:kern w:val="2"/>
      <w:sz w:val="21"/>
      <w:szCs w:val="24"/>
    </w:rPr>
  </w:style>
  <w:style w:type="table" w:styleId="40">
    <w:name w:val="Table Grid"/>
    <w:basedOn w:val="3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42">
    <w:name w:val="page number"/>
    <w:basedOn w:val="41"/>
    <w:qFormat/>
    <w:uiPriority w:val="0"/>
  </w:style>
  <w:style w:type="character" w:styleId="43">
    <w:name w:val="FollowedHyperlink"/>
    <w:qFormat/>
    <w:uiPriority w:val="0"/>
    <w:rPr>
      <w:color w:val="800080"/>
      <w:u w:val="single"/>
    </w:rPr>
  </w:style>
  <w:style w:type="character" w:styleId="44">
    <w:name w:val="Hyperlink"/>
    <w:qFormat/>
    <w:uiPriority w:val="99"/>
    <w:rPr>
      <w:color w:val="0000FF"/>
      <w:u w:val="single"/>
    </w:rPr>
  </w:style>
  <w:style w:type="character" w:styleId="45">
    <w:name w:val="annotation reference"/>
    <w:qFormat/>
    <w:uiPriority w:val="99"/>
    <w:rPr>
      <w:sz w:val="21"/>
      <w:szCs w:val="21"/>
    </w:rPr>
  </w:style>
  <w:style w:type="paragraph" w:customStyle="1" w:styleId="46">
    <w:name w:val="bt1bt1"/>
    <w:basedOn w:val="2"/>
    <w:link w:val="96"/>
    <w:qFormat/>
    <w:uiPriority w:val="0"/>
    <w:pPr>
      <w:spacing w:line="240" w:lineRule="auto"/>
      <w:jc w:val="center"/>
    </w:pPr>
    <w:rPr>
      <w:rFonts w:ascii="黑体" w:eastAsia="黑体"/>
      <w:b w:val="0"/>
      <w:sz w:val="36"/>
      <w:szCs w:val="36"/>
    </w:rPr>
  </w:style>
  <w:style w:type="paragraph" w:styleId="47">
    <w:name w:val="List Paragraph"/>
    <w:basedOn w:val="1"/>
    <w:unhideWhenUsed/>
    <w:qFormat/>
    <w:uiPriority w:val="99"/>
    <w:pPr>
      <w:ind w:firstLine="420" w:firstLineChars="200"/>
    </w:pPr>
  </w:style>
  <w:style w:type="character" w:customStyle="1" w:styleId="48">
    <w:name w:val="标题 1 Char"/>
    <w:basedOn w:val="41"/>
    <w:link w:val="2"/>
    <w:qFormat/>
    <w:uiPriority w:val="0"/>
    <w:rPr>
      <w:rFonts w:ascii="Times New Roman" w:hAnsi="Times New Roman" w:eastAsia="宋体" w:cs="Times New Roman"/>
      <w:b/>
      <w:bCs/>
      <w:kern w:val="44"/>
      <w:sz w:val="44"/>
      <w:szCs w:val="44"/>
    </w:rPr>
  </w:style>
  <w:style w:type="character" w:customStyle="1" w:styleId="49">
    <w:name w:val="批注框文本 Char"/>
    <w:basedOn w:val="41"/>
    <w:link w:val="25"/>
    <w:semiHidden/>
    <w:qFormat/>
    <w:uiPriority w:val="0"/>
    <w:rPr>
      <w:rFonts w:ascii="Times New Roman" w:hAnsi="Times New Roman" w:eastAsia="宋体" w:cs="Times New Roman"/>
      <w:sz w:val="18"/>
      <w:szCs w:val="18"/>
    </w:rPr>
  </w:style>
  <w:style w:type="paragraph" w:customStyle="1" w:styleId="5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51">
    <w:name w:val="标题 2 Char"/>
    <w:basedOn w:val="41"/>
    <w:link w:val="3"/>
    <w:qFormat/>
    <w:uiPriority w:val="9"/>
    <w:rPr>
      <w:rFonts w:ascii="Arial" w:hAnsi="Arial" w:eastAsia="黑体" w:cs="Times New Roman"/>
      <w:b/>
      <w:bCs/>
      <w:sz w:val="32"/>
      <w:szCs w:val="32"/>
    </w:rPr>
  </w:style>
  <w:style w:type="character" w:customStyle="1" w:styleId="52">
    <w:name w:val="标题 3 Char"/>
    <w:basedOn w:val="41"/>
    <w:link w:val="5"/>
    <w:qFormat/>
    <w:uiPriority w:val="0"/>
    <w:rPr>
      <w:rFonts w:ascii="黑体" w:hAnsi="Times New Roman" w:eastAsia="黑体" w:cs="Times New Roman"/>
      <w:kern w:val="0"/>
      <w:sz w:val="28"/>
      <w:szCs w:val="20"/>
    </w:rPr>
  </w:style>
  <w:style w:type="character" w:customStyle="1" w:styleId="53">
    <w:name w:val="标题 4 Char"/>
    <w:basedOn w:val="41"/>
    <w:link w:val="6"/>
    <w:qFormat/>
    <w:uiPriority w:val="0"/>
    <w:rPr>
      <w:rFonts w:ascii="Times New Roman" w:hAnsi="Times New Roman" w:eastAsia="宋体" w:cs="Times New Roman"/>
      <w:sz w:val="28"/>
      <w:szCs w:val="20"/>
    </w:rPr>
  </w:style>
  <w:style w:type="character" w:customStyle="1" w:styleId="54">
    <w:name w:val="标题 5 Char"/>
    <w:basedOn w:val="41"/>
    <w:link w:val="7"/>
    <w:qFormat/>
    <w:uiPriority w:val="0"/>
    <w:rPr>
      <w:rFonts w:ascii="Times New Roman" w:hAnsi="Times New Roman" w:eastAsia="宋体" w:cs="Times New Roman"/>
      <w:b/>
      <w:bCs/>
      <w:sz w:val="28"/>
      <w:szCs w:val="28"/>
    </w:rPr>
  </w:style>
  <w:style w:type="character" w:customStyle="1" w:styleId="55">
    <w:name w:val="标题 6 Char"/>
    <w:basedOn w:val="41"/>
    <w:link w:val="8"/>
    <w:qFormat/>
    <w:uiPriority w:val="0"/>
    <w:rPr>
      <w:rFonts w:ascii="Arial" w:hAnsi="Arial" w:eastAsia="黑体" w:cs="Times New Roman"/>
      <w:b/>
      <w:bCs/>
      <w:sz w:val="24"/>
      <w:szCs w:val="24"/>
    </w:rPr>
  </w:style>
  <w:style w:type="character" w:customStyle="1" w:styleId="56">
    <w:name w:val="标题 7 Char"/>
    <w:basedOn w:val="41"/>
    <w:link w:val="9"/>
    <w:qFormat/>
    <w:uiPriority w:val="0"/>
    <w:rPr>
      <w:rFonts w:ascii="Times New Roman" w:hAnsi="Times New Roman" w:eastAsia="宋体" w:cs="Times New Roman"/>
      <w:b/>
      <w:bCs/>
      <w:sz w:val="24"/>
      <w:szCs w:val="24"/>
    </w:rPr>
  </w:style>
  <w:style w:type="character" w:customStyle="1" w:styleId="57">
    <w:name w:val="标题 8 Char"/>
    <w:basedOn w:val="41"/>
    <w:link w:val="10"/>
    <w:qFormat/>
    <w:uiPriority w:val="0"/>
    <w:rPr>
      <w:rFonts w:ascii="Arial" w:hAnsi="Arial" w:eastAsia="黑体" w:cs="Times New Roman"/>
      <w:sz w:val="24"/>
      <w:szCs w:val="24"/>
    </w:rPr>
  </w:style>
  <w:style w:type="character" w:customStyle="1" w:styleId="58">
    <w:name w:val="标题 9 Char"/>
    <w:basedOn w:val="41"/>
    <w:link w:val="11"/>
    <w:qFormat/>
    <w:uiPriority w:val="0"/>
    <w:rPr>
      <w:rFonts w:ascii="Arial" w:hAnsi="Arial" w:eastAsia="黑体" w:cs="Times New Roman"/>
      <w:szCs w:val="21"/>
    </w:rPr>
  </w:style>
  <w:style w:type="character" w:customStyle="1" w:styleId="59">
    <w:name w:val="页眉 Char"/>
    <w:basedOn w:val="41"/>
    <w:link w:val="27"/>
    <w:qFormat/>
    <w:uiPriority w:val="99"/>
    <w:rPr>
      <w:rFonts w:ascii="Times New Roman" w:hAnsi="Times New Roman" w:eastAsia="宋体" w:cs="Times New Roman"/>
      <w:sz w:val="18"/>
      <w:szCs w:val="18"/>
    </w:rPr>
  </w:style>
  <w:style w:type="character" w:customStyle="1" w:styleId="60">
    <w:name w:val="页脚 Char"/>
    <w:basedOn w:val="41"/>
    <w:link w:val="26"/>
    <w:qFormat/>
    <w:uiPriority w:val="99"/>
    <w:rPr>
      <w:rFonts w:ascii="Times New Roman" w:hAnsi="Times New Roman" w:eastAsia="宋体" w:cs="Times New Roman"/>
      <w:sz w:val="18"/>
      <w:szCs w:val="18"/>
    </w:rPr>
  </w:style>
  <w:style w:type="character" w:customStyle="1" w:styleId="61">
    <w:name w:val="批注文字 Char"/>
    <w:basedOn w:val="41"/>
    <w:link w:val="14"/>
    <w:qFormat/>
    <w:uiPriority w:val="99"/>
    <w:rPr>
      <w:rFonts w:ascii="Times New Roman" w:hAnsi="Times New Roman" w:eastAsia="宋体" w:cs="Times New Roman"/>
      <w:szCs w:val="24"/>
    </w:rPr>
  </w:style>
  <w:style w:type="character" w:customStyle="1" w:styleId="62">
    <w:name w:val="批注主题 Char"/>
    <w:basedOn w:val="61"/>
    <w:link w:val="36"/>
    <w:semiHidden/>
    <w:qFormat/>
    <w:uiPriority w:val="0"/>
    <w:rPr>
      <w:rFonts w:ascii="Times New Roman" w:hAnsi="Times New Roman" w:eastAsia="宋体" w:cs="Times New Roman"/>
      <w:b/>
      <w:bCs/>
      <w:szCs w:val="20"/>
    </w:rPr>
  </w:style>
  <w:style w:type="character" w:customStyle="1" w:styleId="63">
    <w:name w:val="文档结构图 Char"/>
    <w:basedOn w:val="41"/>
    <w:link w:val="13"/>
    <w:semiHidden/>
    <w:qFormat/>
    <w:uiPriority w:val="0"/>
    <w:rPr>
      <w:rFonts w:ascii="宋体" w:hAnsi="Times New Roman" w:eastAsia="宋体" w:cs="Times New Roman"/>
      <w:sz w:val="18"/>
      <w:szCs w:val="18"/>
    </w:rPr>
  </w:style>
  <w:style w:type="character" w:customStyle="1" w:styleId="64">
    <w:name w:val="正文文本 Char"/>
    <w:basedOn w:val="41"/>
    <w:link w:val="16"/>
    <w:qFormat/>
    <w:uiPriority w:val="0"/>
    <w:rPr>
      <w:rFonts w:ascii="Times New Roman" w:hAnsi="Times New Roman" w:eastAsia="宋体" w:cs="Times New Roman"/>
      <w:sz w:val="28"/>
      <w:szCs w:val="20"/>
    </w:rPr>
  </w:style>
  <w:style w:type="character" w:customStyle="1" w:styleId="65">
    <w:name w:val="正文文本缩进 Char"/>
    <w:basedOn w:val="41"/>
    <w:link w:val="17"/>
    <w:qFormat/>
    <w:uiPriority w:val="0"/>
    <w:rPr>
      <w:rFonts w:ascii="楷体_GB2312" w:hAnsi="Times New Roman" w:eastAsia="楷体_GB2312" w:cs="Times New Roman"/>
      <w:kern w:val="0"/>
      <w:sz w:val="28"/>
      <w:szCs w:val="20"/>
    </w:rPr>
  </w:style>
  <w:style w:type="character" w:customStyle="1" w:styleId="66">
    <w:name w:val="纯文本 Char"/>
    <w:basedOn w:val="41"/>
    <w:link w:val="21"/>
    <w:qFormat/>
    <w:uiPriority w:val="0"/>
    <w:rPr>
      <w:rFonts w:ascii="宋体" w:hAnsi="Courier New" w:eastAsia="宋体" w:cs="Times New Roman"/>
      <w:szCs w:val="20"/>
    </w:rPr>
  </w:style>
  <w:style w:type="character" w:customStyle="1" w:styleId="67">
    <w:name w:val="日期 Char"/>
    <w:basedOn w:val="41"/>
    <w:link w:val="23"/>
    <w:qFormat/>
    <w:uiPriority w:val="0"/>
    <w:rPr>
      <w:rFonts w:ascii="Times New Roman" w:hAnsi="Times New Roman" w:eastAsia="宋体" w:cs="Times New Roman"/>
      <w:szCs w:val="20"/>
    </w:rPr>
  </w:style>
  <w:style w:type="character" w:customStyle="1" w:styleId="68">
    <w:name w:val="正文文本缩进 2 Char"/>
    <w:basedOn w:val="41"/>
    <w:link w:val="24"/>
    <w:qFormat/>
    <w:uiPriority w:val="0"/>
    <w:rPr>
      <w:rFonts w:ascii="仿宋_GB2312" w:hAnsi="宋体" w:eastAsia="仿宋_GB2312" w:cs="Times New Roman"/>
      <w:sz w:val="24"/>
      <w:szCs w:val="24"/>
    </w:rPr>
  </w:style>
  <w:style w:type="character" w:customStyle="1" w:styleId="69">
    <w:name w:val="副标题 Char"/>
    <w:basedOn w:val="41"/>
    <w:link w:val="30"/>
    <w:qFormat/>
    <w:uiPriority w:val="0"/>
    <w:rPr>
      <w:rFonts w:ascii="Cambria" w:hAnsi="Cambria" w:eastAsia="宋体" w:cs="黑体"/>
      <w:b/>
      <w:bCs/>
      <w:kern w:val="28"/>
      <w:sz w:val="32"/>
      <w:szCs w:val="32"/>
    </w:rPr>
  </w:style>
  <w:style w:type="character" w:customStyle="1" w:styleId="70">
    <w:name w:val="正文文本缩进 3 Char"/>
    <w:basedOn w:val="41"/>
    <w:link w:val="32"/>
    <w:qFormat/>
    <w:uiPriority w:val="0"/>
    <w:rPr>
      <w:rFonts w:ascii="Times New Roman" w:hAnsi="Times New Roman" w:eastAsia="宋体" w:cs="Times New Roman"/>
      <w:sz w:val="24"/>
      <w:szCs w:val="20"/>
    </w:rPr>
  </w:style>
  <w:style w:type="character" w:customStyle="1" w:styleId="71">
    <w:name w:val="标题 Char"/>
    <w:basedOn w:val="41"/>
    <w:link w:val="35"/>
    <w:qFormat/>
    <w:uiPriority w:val="0"/>
    <w:rPr>
      <w:rFonts w:ascii="Cambria" w:hAnsi="Cambria" w:eastAsia="宋体" w:cs="Times New Roman"/>
      <w:b/>
      <w:bCs/>
      <w:sz w:val="32"/>
      <w:szCs w:val="32"/>
    </w:rPr>
  </w:style>
  <w:style w:type="paragraph" w:customStyle="1" w:styleId="72">
    <w:name w:val="TOC 标题11"/>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73">
    <w:name w:val="_Style 36"/>
    <w:basedOn w:val="1"/>
    <w:qFormat/>
    <w:uiPriority w:val="34"/>
    <w:pPr>
      <w:ind w:firstLine="420" w:firstLineChars="200"/>
    </w:pPr>
    <w:rPr>
      <w:szCs w:val="20"/>
    </w:rPr>
  </w:style>
  <w:style w:type="paragraph" w:customStyle="1" w:styleId="74">
    <w:name w:val="Char Char Char Char Char Char Char Char Char Char Char Char Char"/>
    <w:basedOn w:val="13"/>
    <w:qFormat/>
    <w:uiPriority w:val="0"/>
    <w:pPr>
      <w:shd w:val="clear" w:color="auto" w:fill="000080"/>
    </w:pPr>
    <w:rPr>
      <w:rFonts w:ascii="Tahoma" w:hAnsi="Tahoma"/>
      <w:sz w:val="24"/>
      <w:szCs w:val="24"/>
    </w:rPr>
  </w:style>
  <w:style w:type="paragraph" w:customStyle="1" w:styleId="75">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76">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77">
    <w:name w:val="新定义正文"/>
    <w:basedOn w:val="1"/>
    <w:qFormat/>
    <w:uiPriority w:val="0"/>
    <w:pPr>
      <w:widowControl/>
    </w:pPr>
    <w:rPr>
      <w:color w:val="000000"/>
      <w:szCs w:val="21"/>
    </w:rPr>
  </w:style>
  <w:style w:type="paragraph" w:customStyle="1" w:styleId="78">
    <w:name w:val="节"/>
    <w:basedOn w:val="3"/>
    <w:qFormat/>
    <w:uiPriority w:val="0"/>
    <w:pPr>
      <w:numPr>
        <w:ilvl w:val="1"/>
        <w:numId w:val="1"/>
      </w:numPr>
      <w:tabs>
        <w:tab w:val="left" w:pos="432"/>
      </w:tabs>
      <w:spacing w:line="240" w:lineRule="auto"/>
    </w:pPr>
    <w:rPr>
      <w:rFonts w:ascii="黑体"/>
      <w:b w:val="0"/>
      <w:sz w:val="28"/>
      <w:szCs w:val="28"/>
    </w:rPr>
  </w:style>
  <w:style w:type="paragraph" w:customStyle="1" w:styleId="79">
    <w:name w:val="TOC 标题2"/>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80">
    <w:name w:val="列出段落1"/>
    <w:basedOn w:val="1"/>
    <w:qFormat/>
    <w:uiPriority w:val="0"/>
    <w:pPr>
      <w:ind w:firstLine="420" w:firstLineChars="200"/>
    </w:pPr>
    <w:rPr>
      <w:szCs w:val="20"/>
    </w:rPr>
  </w:style>
  <w:style w:type="paragraph" w:customStyle="1" w:styleId="81">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82">
    <w:name w:val="Char Char1"/>
    <w:qFormat/>
    <w:uiPriority w:val="0"/>
    <w:rPr>
      <w:rFonts w:ascii="楷体_GB2312" w:eastAsia="楷体_GB2312"/>
      <w:sz w:val="28"/>
    </w:rPr>
  </w:style>
  <w:style w:type="character" w:customStyle="1" w:styleId="83">
    <w:name w:val="Char Char"/>
    <w:qFormat/>
    <w:uiPriority w:val="0"/>
    <w:rPr>
      <w:rFonts w:ascii="宋体"/>
      <w:kern w:val="2"/>
      <w:sz w:val="18"/>
      <w:szCs w:val="18"/>
    </w:rPr>
  </w:style>
  <w:style w:type="paragraph" w:customStyle="1" w:styleId="84">
    <w:name w:val="修订2"/>
    <w:hidden/>
    <w:unhideWhenUsed/>
    <w:qFormat/>
    <w:uiPriority w:val="99"/>
    <w:rPr>
      <w:rFonts w:ascii="Times New Roman" w:hAnsi="Times New Roman" w:eastAsia="宋体" w:cs="Times New Roman"/>
      <w:kern w:val="2"/>
      <w:sz w:val="21"/>
      <w:szCs w:val="24"/>
      <w:lang w:val="en-US" w:eastAsia="zh-CN" w:bidi="ar-SA"/>
    </w:rPr>
  </w:style>
  <w:style w:type="paragraph" w:customStyle="1" w:styleId="85">
    <w:name w:val="样式 标题 3 + (中文) 黑体 小四 非加粗 段前: 7.8 磅 段后: 0 磅 行距: 固定值 20 磅"/>
    <w:basedOn w:val="5"/>
    <w:qFormat/>
    <w:uiPriority w:val="0"/>
    <w:pPr>
      <w:autoSpaceDE/>
      <w:autoSpaceDN/>
      <w:adjustRightInd/>
      <w:spacing w:before="0" w:after="0" w:line="400" w:lineRule="exact"/>
    </w:pPr>
    <w:rPr>
      <w:rFonts w:ascii="Times New Roman" w:cs="宋体"/>
      <w:kern w:val="2"/>
      <w:sz w:val="24"/>
    </w:rPr>
  </w:style>
  <w:style w:type="character" w:customStyle="1" w:styleId="86">
    <w:name w:val="批注文字 Char1"/>
    <w:qFormat/>
    <w:uiPriority w:val="99"/>
    <w:rPr>
      <w:kern w:val="2"/>
      <w:sz w:val="21"/>
    </w:rPr>
  </w:style>
  <w:style w:type="character" w:customStyle="1" w:styleId="87">
    <w:name w:val="正文文本 3 Char"/>
    <w:basedOn w:val="41"/>
    <w:link w:val="15"/>
    <w:semiHidden/>
    <w:qFormat/>
    <w:uiPriority w:val="99"/>
    <w:rPr>
      <w:rFonts w:ascii="Times New Roman" w:hAnsi="Times New Roman" w:eastAsia="宋体" w:cs="Times New Roman"/>
      <w:sz w:val="16"/>
      <w:szCs w:val="16"/>
    </w:rPr>
  </w:style>
  <w:style w:type="paragraph" w:customStyle="1" w:styleId="8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89">
    <w:name w:val="图表标题"/>
    <w:basedOn w:val="1"/>
    <w:qFormat/>
    <w:uiPriority w:val="0"/>
    <w:pPr>
      <w:autoSpaceDE w:val="0"/>
      <w:autoSpaceDN w:val="0"/>
      <w:adjustRightInd w:val="0"/>
      <w:snapToGrid w:val="0"/>
      <w:spacing w:before="80" w:after="40" w:line="288" w:lineRule="auto"/>
      <w:jc w:val="center"/>
    </w:pPr>
    <w:rPr>
      <w:spacing w:val="10"/>
      <w:kern w:val="0"/>
      <w:sz w:val="24"/>
      <w:szCs w:val="20"/>
    </w:rPr>
  </w:style>
  <w:style w:type="character" w:customStyle="1" w:styleId="90">
    <w:name w:val="font71"/>
    <w:basedOn w:val="41"/>
    <w:qFormat/>
    <w:uiPriority w:val="0"/>
    <w:rPr>
      <w:rFonts w:hint="eastAsia" w:ascii="宋体" w:hAnsi="宋体" w:eastAsia="宋体" w:cs="宋体"/>
      <w:b/>
      <w:color w:val="000000"/>
      <w:sz w:val="18"/>
      <w:szCs w:val="18"/>
      <w:u w:val="none"/>
    </w:rPr>
  </w:style>
  <w:style w:type="paragraph" w:customStyle="1" w:styleId="91">
    <w:name w:val="正文1"/>
    <w:qFormat/>
    <w:uiPriority w:val="0"/>
    <w:rPr>
      <w:rFonts w:ascii="Calibri" w:hAnsi="Calibri" w:eastAsia="宋体" w:cs="Times New Roman"/>
      <w:sz w:val="24"/>
      <w:szCs w:val="24"/>
      <w:lang w:val="en-US" w:eastAsia="zh-CN" w:bidi="ar-SA"/>
    </w:rPr>
  </w:style>
  <w:style w:type="paragraph" w:customStyle="1" w:styleId="92">
    <w:name w:val="正文00"/>
    <w:basedOn w:val="1"/>
    <w:qFormat/>
    <w:uiPriority w:val="0"/>
    <w:pPr>
      <w:topLinePunct/>
      <w:spacing w:line="360" w:lineRule="auto"/>
      <w:ind w:firstLine="200" w:firstLineChars="200"/>
    </w:pPr>
    <w:rPr>
      <w:sz w:val="24"/>
      <w:szCs w:val="21"/>
    </w:rPr>
  </w:style>
  <w:style w:type="paragraph" w:customStyle="1" w:styleId="93">
    <w:name w:val="N.N"/>
    <w:basedOn w:val="1"/>
    <w:next w:val="1"/>
    <w:qFormat/>
    <w:uiPriority w:val="0"/>
    <w:pPr>
      <w:spacing w:line="480" w:lineRule="auto"/>
      <w:jc w:val="left"/>
      <w:outlineLvl w:val="1"/>
    </w:pPr>
    <w:rPr>
      <w:rFonts w:ascii="黑体" w:hAnsi="Calibri" w:eastAsia="黑体"/>
      <w:sz w:val="32"/>
      <w:szCs w:val="32"/>
    </w:rPr>
  </w:style>
  <w:style w:type="character" w:customStyle="1" w:styleId="94">
    <w:name w:val="font21"/>
    <w:basedOn w:val="41"/>
    <w:qFormat/>
    <w:uiPriority w:val="0"/>
    <w:rPr>
      <w:rFonts w:hint="eastAsia" w:ascii="仿宋" w:hAnsi="仿宋" w:eastAsia="仿宋" w:cs="仿宋"/>
      <w:color w:val="000000"/>
      <w:sz w:val="21"/>
      <w:szCs w:val="21"/>
      <w:u w:val="none"/>
    </w:rPr>
  </w:style>
  <w:style w:type="character" w:customStyle="1" w:styleId="95">
    <w:name w:val="font11"/>
    <w:basedOn w:val="41"/>
    <w:qFormat/>
    <w:uiPriority w:val="0"/>
    <w:rPr>
      <w:rFonts w:hint="eastAsia" w:ascii="仿宋" w:hAnsi="仿宋" w:eastAsia="仿宋" w:cs="仿宋"/>
      <w:color w:val="000000"/>
      <w:sz w:val="20"/>
      <w:szCs w:val="20"/>
      <w:u w:val="none"/>
    </w:rPr>
  </w:style>
  <w:style w:type="character" w:customStyle="1" w:styleId="96">
    <w:name w:val="bt1bt1 Char"/>
    <w:link w:val="46"/>
    <w:uiPriority w:val="0"/>
    <w:rPr>
      <w:rFonts w:ascii="黑体" w:eastAsia="黑体"/>
      <w:sz w:val="36"/>
      <w:szCs w:val="36"/>
    </w:rPr>
  </w:style>
  <w:style w:type="character" w:customStyle="1" w:styleId="97">
    <w:name w:val="目录 1 Char"/>
    <w:link w:val="28"/>
    <w:qFormat/>
    <w:uiPriority w:val="39"/>
    <w:rPr>
      <w:rFonts w:ascii="宋体" w:hAnsi="宋体"/>
    </w:rPr>
  </w:style>
  <w:style w:type="character" w:customStyle="1" w:styleId="98">
    <w:name w:val="目录 2 Char"/>
    <w:link w:val="33"/>
    <w:qFormat/>
    <w:uiPriority w:val="39"/>
  </w:style>
  <w:style w:type="paragraph" w:customStyle="1" w:styleId="99">
    <w:name w:val="！正文"/>
    <w:basedOn w:val="1"/>
    <w:qFormat/>
    <w:uiPriority w:val="0"/>
    <w:pPr>
      <w:spacing w:line="360" w:lineRule="auto"/>
      <w:ind w:firstLine="200" w:firstLineChars="200"/>
    </w:pPr>
    <w:rPr>
      <w:rFonts w:eastAsia="微软雅黑"/>
    </w:rPr>
  </w:style>
  <w:style w:type="character" w:customStyle="1" w:styleId="100">
    <w:name w:val="正文首行缩进 Char"/>
    <w:basedOn w:val="64"/>
    <w:link w:val="37"/>
    <w:uiPriority w:val="0"/>
    <w:rPr>
      <w:kern w:val="2"/>
      <w:sz w:val="21"/>
      <w:szCs w:val="24"/>
    </w:rPr>
  </w:style>
  <w:style w:type="paragraph" w:customStyle="1" w:styleId="101">
    <w:name w:val="编号1）"/>
    <w:qFormat/>
    <w:uiPriority w:val="0"/>
    <w:pPr>
      <w:tabs>
        <w:tab w:val="left" w:pos="240"/>
      </w:tabs>
      <w:spacing w:before="20" w:after="200" w:line="360" w:lineRule="auto"/>
      <w:ind w:left="420" w:hanging="420"/>
    </w:pPr>
    <w:rPr>
      <w:rFonts w:ascii="Times New Roman" w:hAnsi="Times New Roman" w:eastAsia="微软雅黑" w:cs="Times New Roman"/>
      <w:sz w:val="24"/>
      <w:szCs w:val="22"/>
      <w:lang w:val="en-US" w:eastAsia="zh-CN" w:bidi="ar-SA"/>
    </w:rPr>
  </w:style>
  <w:style w:type="paragraph" w:customStyle="1" w:styleId="102">
    <w:name w:val="正文道行缩进2"/>
    <w:basedOn w:val="1"/>
    <w:qFormat/>
    <w:uiPriority w:val="0"/>
    <w:pPr>
      <w:widowControl/>
      <w:spacing w:line="360" w:lineRule="auto"/>
      <w:ind w:firstLine="200" w:firstLineChars="200"/>
      <w:jc w:val="left"/>
    </w:pPr>
    <w:rPr>
      <w:kern w:val="0"/>
      <w:lang w:eastAsia="en-US" w:bidi="en-US"/>
    </w:rPr>
  </w:style>
  <w:style w:type="character" w:customStyle="1" w:styleId="103">
    <w:name w:val="正文首行缩进 2 Char"/>
    <w:basedOn w:val="65"/>
    <w:link w:val="38"/>
    <w:semiHidden/>
    <w:uiPriority w:val="99"/>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DC2E1E-F168-4B5F-BF1C-6D25FCE76FC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49</Pages>
  <Words>4758</Words>
  <Characters>27124</Characters>
  <Lines>226</Lines>
  <Paragraphs>63</Paragraphs>
  <TotalTime>280</TotalTime>
  <ScaleCrop>false</ScaleCrop>
  <LinksUpToDate>false</LinksUpToDate>
  <CharactersWithSpaces>31819</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2017-11-01T03:28:00Z</dcterms:created>
  <dc:creator>MIIT</dc:creator>
  <cp:lastModifiedBy>26068</cp:lastModifiedBy>
  <cp:lastPrinted>2019-07-01T05:29:00Z</cp:lastPrinted>
  <dcterms:modified xsi:type="dcterms:W3CDTF">2019-07-01T08:42:57Z</dcterms:modified>
  <cp:revision>225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