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4"/>
          <w:szCs w:val="44"/>
          <w:u w:val="single"/>
        </w:rPr>
      </w:pPr>
      <w:bookmarkStart w:id="0" w:name="_GoBack"/>
      <w:bookmarkEnd w:id="0"/>
      <w:r>
        <w:rPr>
          <w:rFonts w:hint="eastAsia" w:ascii="方正小标宋_GBK" w:hAnsi="方正小标宋_GBK" w:eastAsia="方正小标宋_GBK" w:cs="方正小标宋_GBK"/>
          <w:sz w:val="44"/>
          <w:szCs w:val="44"/>
        </w:rPr>
        <w:t>公司工资总额信息披露</w:t>
      </w:r>
    </w:p>
    <w:p>
      <w:pPr>
        <w:rPr>
          <w:rFonts w:ascii="Times New Roman" w:hAnsi="Times New Roman" w:eastAsia="仿宋_GB2312"/>
          <w:sz w:val="18"/>
          <w:szCs w:val="18"/>
        </w:rPr>
      </w:pPr>
    </w:p>
    <w:p>
      <w:pPr>
        <w:rPr>
          <w:rFonts w:ascii="Times New Roman" w:hAnsi="Times New Roman" w:eastAsia="仿宋_GB2312"/>
          <w:sz w:val="32"/>
          <w:szCs w:val="32"/>
        </w:rPr>
      </w:pPr>
      <w:r>
        <w:rPr>
          <w:rFonts w:ascii="Times New Roman" w:hAnsi="Times New Roman" w:eastAsia="仿宋_GB2312"/>
          <w:sz w:val="32"/>
          <w:szCs w:val="32"/>
        </w:rPr>
        <w:t>现将本企业2019年度工资总额信息披露如下：</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0"/>
        <w:gridCol w:w="1134"/>
        <w:gridCol w:w="1843"/>
        <w:gridCol w:w="1417"/>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2660" w:type="dxa"/>
            <w:vMerge w:val="restart"/>
            <w:noWrap w:val="0"/>
            <w:vAlign w:val="center"/>
          </w:tcPr>
          <w:p>
            <w:pPr>
              <w:jc w:val="center"/>
              <w:rPr>
                <w:rFonts w:ascii="Times New Roman" w:hAnsi="Times New Roman" w:eastAsia="黑体"/>
                <w:sz w:val="24"/>
                <w:szCs w:val="32"/>
              </w:rPr>
            </w:pPr>
            <w:r>
              <w:rPr>
                <w:rFonts w:ascii="Times New Roman" w:hAnsi="Times New Roman" w:eastAsia="黑体"/>
                <w:sz w:val="24"/>
                <w:szCs w:val="32"/>
              </w:rPr>
              <w:t>企业名称（全称）</w:t>
            </w:r>
          </w:p>
        </w:tc>
        <w:tc>
          <w:tcPr>
            <w:tcW w:w="2977" w:type="dxa"/>
            <w:gridSpan w:val="2"/>
            <w:tcBorders>
              <w:bottom w:val="nil"/>
              <w:right w:val="single" w:color="000000" w:sz="4" w:space="0"/>
            </w:tcBorders>
            <w:noWrap w:val="0"/>
            <w:vAlign w:val="center"/>
          </w:tcPr>
          <w:p>
            <w:pPr>
              <w:jc w:val="center"/>
              <w:rPr>
                <w:rFonts w:ascii="Times New Roman" w:hAnsi="Times New Roman" w:eastAsia="黑体"/>
                <w:sz w:val="24"/>
                <w:szCs w:val="32"/>
              </w:rPr>
            </w:pPr>
            <w:r>
              <w:rPr>
                <w:rFonts w:ascii="Times New Roman" w:hAnsi="Times New Roman" w:eastAsia="黑体"/>
                <w:sz w:val="24"/>
                <w:szCs w:val="32"/>
              </w:rPr>
              <w:t>应发在岗职工工资总额（万元）</w:t>
            </w:r>
          </w:p>
        </w:tc>
        <w:tc>
          <w:tcPr>
            <w:tcW w:w="1417" w:type="dxa"/>
            <w:vMerge w:val="restart"/>
            <w:tcBorders>
              <w:left w:val="single" w:color="000000" w:sz="4" w:space="0"/>
            </w:tcBorders>
            <w:noWrap w:val="0"/>
            <w:vAlign w:val="center"/>
          </w:tcPr>
          <w:p>
            <w:pPr>
              <w:jc w:val="center"/>
              <w:rPr>
                <w:rFonts w:ascii="Times New Roman" w:hAnsi="Times New Roman" w:eastAsia="黑体"/>
                <w:sz w:val="24"/>
                <w:szCs w:val="32"/>
              </w:rPr>
            </w:pPr>
            <w:r>
              <w:rPr>
                <w:rFonts w:ascii="Times New Roman" w:hAnsi="Times New Roman" w:eastAsia="黑体"/>
                <w:sz w:val="24"/>
                <w:szCs w:val="32"/>
              </w:rPr>
              <w:t>在岗职工</w:t>
            </w:r>
          </w:p>
          <w:p>
            <w:pPr>
              <w:jc w:val="center"/>
              <w:rPr>
                <w:rFonts w:ascii="Times New Roman" w:hAnsi="Times New Roman" w:eastAsia="黑体"/>
                <w:sz w:val="24"/>
                <w:szCs w:val="32"/>
              </w:rPr>
            </w:pPr>
            <w:r>
              <w:rPr>
                <w:rFonts w:ascii="Times New Roman" w:hAnsi="Times New Roman" w:eastAsia="黑体"/>
                <w:sz w:val="24"/>
                <w:szCs w:val="32"/>
              </w:rPr>
              <w:t>年平均人数</w:t>
            </w:r>
          </w:p>
          <w:p>
            <w:pPr>
              <w:jc w:val="center"/>
              <w:rPr>
                <w:rFonts w:ascii="Times New Roman" w:hAnsi="Times New Roman" w:eastAsia="黑体"/>
                <w:sz w:val="24"/>
                <w:szCs w:val="32"/>
              </w:rPr>
            </w:pPr>
            <w:r>
              <w:rPr>
                <w:rFonts w:ascii="Times New Roman" w:hAnsi="Times New Roman" w:eastAsia="黑体"/>
                <w:sz w:val="24"/>
                <w:szCs w:val="32"/>
              </w:rPr>
              <w:t>（人）</w:t>
            </w:r>
          </w:p>
        </w:tc>
        <w:tc>
          <w:tcPr>
            <w:tcW w:w="1468" w:type="dxa"/>
            <w:vMerge w:val="restart"/>
            <w:noWrap w:val="0"/>
            <w:vAlign w:val="center"/>
          </w:tcPr>
          <w:p>
            <w:pPr>
              <w:jc w:val="center"/>
              <w:rPr>
                <w:rFonts w:ascii="Times New Roman" w:hAnsi="Times New Roman" w:eastAsia="黑体"/>
                <w:sz w:val="24"/>
                <w:szCs w:val="32"/>
              </w:rPr>
            </w:pPr>
            <w:r>
              <w:rPr>
                <w:rFonts w:ascii="Times New Roman" w:hAnsi="Times New Roman" w:eastAsia="黑体"/>
                <w:sz w:val="24"/>
                <w:szCs w:val="32"/>
              </w:rPr>
              <w:t>在岗职工</w:t>
            </w:r>
          </w:p>
          <w:p>
            <w:pPr>
              <w:jc w:val="center"/>
              <w:rPr>
                <w:rFonts w:ascii="Times New Roman" w:hAnsi="Times New Roman" w:eastAsia="黑体"/>
                <w:sz w:val="24"/>
                <w:szCs w:val="32"/>
              </w:rPr>
            </w:pPr>
            <w:r>
              <w:rPr>
                <w:rFonts w:ascii="Times New Roman" w:hAnsi="Times New Roman" w:eastAsia="黑体"/>
                <w:sz w:val="24"/>
                <w:szCs w:val="32"/>
              </w:rPr>
              <w:t>年平均工资</w:t>
            </w:r>
          </w:p>
          <w:p>
            <w:pPr>
              <w:jc w:val="center"/>
              <w:rPr>
                <w:rFonts w:ascii="Times New Roman" w:hAnsi="Times New Roman" w:eastAsia="黑体"/>
                <w:sz w:val="24"/>
                <w:szCs w:val="32"/>
              </w:rPr>
            </w:pPr>
            <w:r>
              <w:rPr>
                <w:rFonts w:ascii="Times New Roman" w:hAnsi="Times New Roman" w:eastAsia="黑体"/>
                <w:sz w:val="24"/>
                <w:szCs w:val="3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2660" w:type="dxa"/>
            <w:vMerge w:val="continue"/>
            <w:noWrap w:val="0"/>
            <w:vAlign w:val="center"/>
          </w:tcPr>
          <w:p>
            <w:pPr>
              <w:jc w:val="center"/>
              <w:rPr>
                <w:rFonts w:ascii="Times New Roman" w:hAnsi="Times New Roman" w:eastAsia="黑体"/>
                <w:sz w:val="24"/>
                <w:szCs w:val="32"/>
              </w:rPr>
            </w:pPr>
          </w:p>
        </w:tc>
        <w:tc>
          <w:tcPr>
            <w:tcW w:w="1134" w:type="dxa"/>
            <w:tcBorders>
              <w:top w:val="nil"/>
              <w:right w:val="single" w:color="000000" w:sz="4" w:space="0"/>
            </w:tcBorders>
            <w:noWrap w:val="0"/>
            <w:vAlign w:val="center"/>
          </w:tcPr>
          <w:p>
            <w:pPr>
              <w:jc w:val="center"/>
              <w:rPr>
                <w:rFonts w:ascii="Times New Roman" w:hAnsi="Times New Roman" w:eastAsia="黑体"/>
                <w:sz w:val="24"/>
                <w:szCs w:val="32"/>
              </w:rPr>
            </w:pPr>
          </w:p>
        </w:tc>
        <w:tc>
          <w:tcPr>
            <w:tcW w:w="1843" w:type="dxa"/>
            <w:tcBorders>
              <w:top w:val="single" w:color="000000" w:sz="4" w:space="0"/>
              <w:left w:val="single" w:color="000000" w:sz="4" w:space="0"/>
              <w:right w:val="single" w:color="000000" w:sz="4" w:space="0"/>
            </w:tcBorders>
            <w:noWrap w:val="0"/>
            <w:vAlign w:val="center"/>
          </w:tcPr>
          <w:p>
            <w:pPr>
              <w:jc w:val="center"/>
              <w:rPr>
                <w:rFonts w:ascii="Times New Roman" w:hAnsi="Times New Roman" w:eastAsia="黑体"/>
                <w:sz w:val="24"/>
                <w:szCs w:val="32"/>
              </w:rPr>
            </w:pPr>
            <w:r>
              <w:rPr>
                <w:rFonts w:ascii="Times New Roman" w:hAnsi="Times New Roman" w:eastAsia="黑体"/>
                <w:sz w:val="24"/>
                <w:szCs w:val="32"/>
              </w:rPr>
              <w:t>期末应付未付金额（万元）</w:t>
            </w:r>
          </w:p>
        </w:tc>
        <w:tc>
          <w:tcPr>
            <w:tcW w:w="1417" w:type="dxa"/>
            <w:vMerge w:val="continue"/>
            <w:tcBorders>
              <w:left w:val="single" w:color="000000" w:sz="4" w:space="0"/>
            </w:tcBorders>
            <w:noWrap w:val="0"/>
            <w:vAlign w:val="center"/>
          </w:tcPr>
          <w:p>
            <w:pPr>
              <w:jc w:val="center"/>
              <w:rPr>
                <w:rFonts w:ascii="Times New Roman" w:hAnsi="Times New Roman" w:eastAsia="黑体"/>
                <w:sz w:val="24"/>
                <w:szCs w:val="32"/>
              </w:rPr>
            </w:pPr>
          </w:p>
        </w:tc>
        <w:tc>
          <w:tcPr>
            <w:tcW w:w="1468" w:type="dxa"/>
            <w:vMerge w:val="continue"/>
            <w:noWrap w:val="0"/>
            <w:vAlign w:val="center"/>
          </w:tcPr>
          <w:p>
            <w:pPr>
              <w:jc w:val="center"/>
              <w:rPr>
                <w:rFonts w:ascii="Times New Roman" w:hAnsi="Times New Roman" w:eastAsia="黑体"/>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trPr>
        <w:tc>
          <w:tcPr>
            <w:tcW w:w="2660" w:type="dxa"/>
            <w:noWrap w:val="0"/>
            <w:vAlign w:val="center"/>
          </w:tcPr>
          <w:p>
            <w:pPr>
              <w:jc w:val="center"/>
              <w:rPr>
                <w:rFonts w:hint="default" w:ascii="Times New Roman" w:hAnsi="Times New Roman" w:eastAsia="宋体"/>
                <w:sz w:val="24"/>
                <w:szCs w:val="32"/>
                <w:lang w:val="en-US" w:eastAsia="zh-CN"/>
              </w:rPr>
            </w:pPr>
            <w:r>
              <w:rPr>
                <w:rFonts w:hint="eastAsia" w:ascii="Times New Roman" w:hAnsi="Times New Roman"/>
                <w:sz w:val="24"/>
                <w:szCs w:val="32"/>
                <w:lang w:val="en-US" w:eastAsia="zh-CN"/>
              </w:rPr>
              <w:t>南通市大数据发展集团有限公司</w:t>
            </w:r>
          </w:p>
        </w:tc>
        <w:tc>
          <w:tcPr>
            <w:tcW w:w="1134" w:type="dxa"/>
            <w:noWrap w:val="0"/>
            <w:vAlign w:val="center"/>
          </w:tcPr>
          <w:p>
            <w:pPr>
              <w:jc w:val="center"/>
              <w:rPr>
                <w:rFonts w:hint="default" w:ascii="Times New Roman" w:hAnsi="Times New Roman" w:eastAsia="宋体"/>
                <w:sz w:val="24"/>
                <w:szCs w:val="32"/>
                <w:lang w:val="en-US" w:eastAsia="zh-CN"/>
              </w:rPr>
            </w:pPr>
            <w:r>
              <w:rPr>
                <w:rFonts w:hint="eastAsia" w:ascii="Times New Roman" w:hAnsi="Times New Roman"/>
                <w:sz w:val="24"/>
                <w:szCs w:val="32"/>
                <w:lang w:val="en-US" w:eastAsia="zh-CN"/>
              </w:rPr>
              <w:t>1000.45</w:t>
            </w:r>
          </w:p>
        </w:tc>
        <w:tc>
          <w:tcPr>
            <w:tcW w:w="1843" w:type="dxa"/>
            <w:noWrap w:val="0"/>
            <w:vAlign w:val="center"/>
          </w:tcPr>
          <w:p>
            <w:pPr>
              <w:jc w:val="center"/>
              <w:rPr>
                <w:rFonts w:hint="default" w:ascii="Times New Roman" w:hAnsi="Times New Roman" w:eastAsia="宋体"/>
                <w:sz w:val="24"/>
                <w:szCs w:val="32"/>
                <w:lang w:val="en-US" w:eastAsia="zh-CN"/>
              </w:rPr>
            </w:pPr>
            <w:r>
              <w:rPr>
                <w:rFonts w:hint="eastAsia" w:ascii="Times New Roman" w:hAnsi="Times New Roman"/>
                <w:sz w:val="24"/>
                <w:szCs w:val="32"/>
                <w:lang w:val="en-US" w:eastAsia="zh-CN"/>
              </w:rPr>
              <w:t>69.76</w:t>
            </w:r>
          </w:p>
        </w:tc>
        <w:tc>
          <w:tcPr>
            <w:tcW w:w="1417" w:type="dxa"/>
            <w:noWrap w:val="0"/>
            <w:vAlign w:val="center"/>
          </w:tcPr>
          <w:p>
            <w:pPr>
              <w:jc w:val="center"/>
              <w:rPr>
                <w:rFonts w:hint="default" w:ascii="Times New Roman" w:hAnsi="Times New Roman" w:eastAsia="宋体"/>
                <w:sz w:val="24"/>
                <w:szCs w:val="32"/>
                <w:lang w:val="en-US" w:eastAsia="zh-CN"/>
              </w:rPr>
            </w:pPr>
            <w:r>
              <w:rPr>
                <w:rFonts w:hint="eastAsia" w:ascii="Times New Roman" w:hAnsi="Times New Roman"/>
                <w:sz w:val="24"/>
                <w:szCs w:val="32"/>
                <w:lang w:val="en-US" w:eastAsia="zh-CN"/>
              </w:rPr>
              <w:t>99</w:t>
            </w:r>
          </w:p>
        </w:tc>
        <w:tc>
          <w:tcPr>
            <w:tcW w:w="1468" w:type="dxa"/>
            <w:noWrap w:val="0"/>
            <w:vAlign w:val="center"/>
          </w:tcPr>
          <w:p>
            <w:pPr>
              <w:jc w:val="center"/>
              <w:rPr>
                <w:rFonts w:hint="default" w:ascii="Times New Roman" w:hAnsi="Times New Roman" w:eastAsia="宋体"/>
                <w:sz w:val="24"/>
                <w:szCs w:val="32"/>
                <w:lang w:val="en-US" w:eastAsia="zh-CN"/>
              </w:rPr>
            </w:pPr>
            <w:r>
              <w:rPr>
                <w:rFonts w:hint="eastAsia" w:ascii="Times New Roman" w:hAnsi="Times New Roman"/>
                <w:sz w:val="24"/>
                <w:szCs w:val="32"/>
                <w:lang w:val="en-US" w:eastAsia="zh-CN"/>
              </w:rPr>
              <w:t>10.11</w:t>
            </w:r>
          </w:p>
        </w:tc>
      </w:tr>
    </w:tbl>
    <w:p>
      <w:pPr>
        <w:rPr>
          <w:rFonts w:ascii="Times New Roman" w:hAnsi="Times New Roman" w:eastAsia="仿宋_GB2312"/>
          <w:sz w:val="24"/>
          <w:szCs w:val="24"/>
        </w:rPr>
      </w:pPr>
    </w:p>
    <w:p>
      <w:pPr>
        <w:spacing w:line="400" w:lineRule="atLeast"/>
        <w:rPr>
          <w:rFonts w:ascii="Times New Roman" w:hAnsi="Times New Roman" w:eastAsia="仿宋_GB2312"/>
          <w:sz w:val="24"/>
          <w:szCs w:val="24"/>
        </w:rPr>
      </w:pPr>
    </w:p>
    <w:p>
      <w:pPr>
        <w:widowControl/>
        <w:shd w:val="clear" w:color="auto" w:fill="FFFFFF"/>
        <w:spacing w:line="400" w:lineRule="exact"/>
        <w:ind w:left="840" w:hanging="840" w:hangingChars="350"/>
        <w:jc w:val="left"/>
        <w:rPr>
          <w:rFonts w:ascii="Times New Roman" w:hAnsi="Times New Roman"/>
          <w:sz w:val="24"/>
        </w:rPr>
      </w:pPr>
      <w:r>
        <w:rPr>
          <w:rFonts w:ascii="Times New Roman" w:hAnsi="Times New Roman"/>
          <w:sz w:val="24"/>
        </w:rPr>
        <w:t>备注：1. 应发工资总额是指企业在报告期内应支付给本企业在岗职工的劳动报酬总额，包括工资、奖金、津贴、补贴、加班加点工资、特殊情况下支付的工资等。</w:t>
      </w:r>
    </w:p>
    <w:p>
      <w:pPr>
        <w:widowControl/>
        <w:shd w:val="clear" w:color="auto" w:fill="FFFFFF"/>
        <w:spacing w:line="400" w:lineRule="exact"/>
        <w:ind w:firstLine="720" w:firstLineChars="300"/>
        <w:jc w:val="left"/>
        <w:rPr>
          <w:rFonts w:ascii="Times New Roman" w:hAnsi="Times New Roman"/>
          <w:sz w:val="24"/>
        </w:rPr>
      </w:pPr>
      <w:r>
        <w:rPr>
          <w:rFonts w:ascii="Times New Roman" w:hAnsi="Times New Roman"/>
          <w:sz w:val="24"/>
        </w:rPr>
        <w:t>2. 在岗职工是指与企业建立劳动关系的全部职工，包括内退职工。</w:t>
      </w:r>
    </w:p>
    <w:p>
      <w:pPr>
        <w:widowControl/>
        <w:shd w:val="clear" w:color="auto" w:fill="FFFFFF"/>
        <w:spacing w:line="400" w:lineRule="exact"/>
        <w:jc w:val="left"/>
        <w:rPr>
          <w:rFonts w:ascii="Times New Roman" w:hAnsi="Times New Roman"/>
          <w:sz w:val="24"/>
        </w:rPr>
      </w:pPr>
      <w:r>
        <w:rPr>
          <w:rFonts w:ascii="Times New Roman" w:hAnsi="Times New Roman"/>
          <w:sz w:val="24"/>
        </w:rPr>
        <w:t xml:space="preserve">      3. 在岗职工年平均人数为报告期内12个月平均的在岗职工人数。</w:t>
      </w:r>
    </w:p>
    <w:p>
      <w:pPr>
        <w:widowControl/>
        <w:shd w:val="clear" w:color="auto" w:fill="FFFFFF"/>
        <w:spacing w:line="400" w:lineRule="exact"/>
        <w:jc w:val="left"/>
        <w:rPr>
          <w:rFonts w:ascii="Times New Roman" w:hAnsi="Times New Roman"/>
          <w:sz w:val="24"/>
        </w:rPr>
      </w:pPr>
      <w:r>
        <w:rPr>
          <w:rFonts w:ascii="Times New Roman" w:hAnsi="Times New Roman"/>
          <w:sz w:val="24"/>
        </w:rPr>
        <w:t xml:space="preserve">      4. 在岗职工年平均工资为报告期内应发工资总额与在岗职工年平均人数之比。</w:t>
      </w:r>
    </w:p>
    <w:p>
      <w:pPr>
        <w:widowControl/>
        <w:shd w:val="clear" w:color="auto" w:fill="FFFFFF"/>
        <w:spacing w:line="400" w:lineRule="exact"/>
        <w:jc w:val="left"/>
        <w:rPr>
          <w:rFonts w:ascii="Times New Roman" w:hAnsi="Times New Roman"/>
          <w:sz w:val="24"/>
        </w:rPr>
      </w:pPr>
      <w:r>
        <w:rPr>
          <w:rFonts w:hint="eastAsia" w:ascii="Times New Roman" w:hAnsi="Times New Roman"/>
          <w:sz w:val="24"/>
        </w:rPr>
        <w:t xml:space="preserve"> </w:t>
      </w:r>
      <w:r>
        <w:rPr>
          <w:rFonts w:ascii="Times New Roman" w:hAnsi="Times New Roman"/>
          <w:sz w:val="24"/>
        </w:rPr>
        <w:t xml:space="preserve">     5.</w:t>
      </w:r>
      <w:r>
        <w:rPr>
          <w:rFonts w:hint="eastAsia" w:ascii="Times New Roman" w:hAnsi="Times New Roman"/>
          <w:sz w:val="24"/>
        </w:rPr>
        <w:t xml:space="preserve"> 本表无需报送，请按照本表格式做好信息披露工作。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4A4FAA"/>
    <w:rsid w:val="095E2510"/>
    <w:rsid w:val="0E6A6CCE"/>
    <w:rsid w:val="1A9C66CC"/>
    <w:rsid w:val="1F4A4FAA"/>
    <w:rsid w:val="213F1BC8"/>
    <w:rsid w:val="2CD612B3"/>
    <w:rsid w:val="3B246663"/>
    <w:rsid w:val="3EB57AE3"/>
    <w:rsid w:val="44A83FB4"/>
    <w:rsid w:val="49F20C63"/>
    <w:rsid w:val="519A4E3B"/>
    <w:rsid w:val="575E5451"/>
    <w:rsid w:val="5E7D4BC8"/>
    <w:rsid w:val="5EEB1DA8"/>
    <w:rsid w:val="5EF93EC9"/>
    <w:rsid w:val="6C0D3C6A"/>
    <w:rsid w:val="7B9D011F"/>
    <w:rsid w:val="7CE70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2021-07-27T07:54:00Z</dcterms:created>
  <dc:creator>醉里吴音</dc:creator>
  <cp:lastModifiedBy>USER</cp:lastModifiedBy>
  <cp:lastPrinted>2021-07-27T09:49:00Z</cp:lastPrinted>
  <dcterms:modified xsi:type="dcterms:W3CDTF">2021-07-28T01:51:21Z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850F638F7FA54BF59422D54FFC48DC78</vt:lpwstr>
  </property>
</Properties>
</file>